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ithvi-flood-in-executive-summary"/>
    <w:p>
      <w:pPr>
        <w:pStyle w:val="Heading1"/>
      </w:pPr>
      <w:r>
        <w:t xml:space="preserve">Prithvi Flood-IN: executive summary</w:t>
      </w:r>
    </w:p>
    <w:p>
      <w:pPr>
        <w:pStyle w:val="FirstParagraph"/>
      </w:pPr>
      <w:r>
        <w:rPr>
          <w:b/>
          <w:bCs/>
        </w:rPr>
        <w:t xml:space="preserve">What floods when the Mahanadi rises: a satellite flood atlas, flow-to-flood maps and engineering impacts for the</w:t>
      </w:r>
      <w:r>
        <w:rPr>
          <w:b/>
          <w:bCs/>
        </w:rPr>
        <w:t xml:space="preserve"> </w:t>
      </w:r>
      <w:r>
        <w:rPr>
          <w:b/>
          <w:bCs/>
        </w:rPr>
        <w:t xml:space="preserve">Mahanadi delta.</w:t>
      </w:r>
      <w:r>
        <w:t xml:space="preserve"> </w:t>
      </w:r>
      <w:r>
        <w:t xml:space="preserve">Integrated Design Project, Department of Civil Engineering, IIT Bombay, 2026. Team: Nikhil</w:t>
      </w:r>
      <w:r>
        <w:t xml:space="preserve"> </w:t>
      </w:r>
      <w:r>
        <w:t xml:space="preserve">Upadhyay (lead), Vineet Jangir, Prakhar Gupta, Himanshu Shete, Prabhat Kumar. Faculty guide: Prof. Basudev Biswal.</w:t>
      </w:r>
      <w:r>
        <w:t xml:space="preserve"> </w:t>
      </w:r>
      <w:r>
        <w:t xml:space="preserve">Industry partner: ClimMaTech (IIT Mandi), Dr. Vivek Gupta and Siddik Barbhuiya.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Flood warning systems in India, including our partner’s radar gauges, sirens and app, measure and forecast the river</w:t>
      </w:r>
      <w:r>
        <w:t xml:space="preserve"> </w:t>
      </w:r>
      <w:r>
        <w:t xml:space="preserve">at a point. None of them shows what a forecast flow floods: which fields, villages, roads, bridges and river banks go</w:t>
      </w:r>
      <w:r>
        <w:t xml:space="preserve"> </w:t>
      </w:r>
      <w:r>
        <w:t xml:space="preserve">under, and who must be warned. We built that missing step for the Mahanadi delta below Naraj (3,038 km², about</w:t>
      </w:r>
      <w:r>
        <w:t xml:space="preserve"> </w:t>
      </w:r>
      <w:r>
        <w:t xml:space="preserve">4.1 million people), which floods every few years.</w:t>
      </w:r>
    </w:p>
    <w:bookmarkEnd w:id="9"/>
    <w:bookmarkStart w:id="10" w:name="what-we-built"/>
    <w:p>
      <w:pPr>
        <w:pStyle w:val="Heading2"/>
      </w:pPr>
      <w:r>
        <w:t xml:space="preserve">What we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fair model benchmark.</w:t>
      </w:r>
      <w:r>
        <w:t xml:space="preserve"> </w:t>
      </w:r>
      <w:r>
        <w:t xml:space="preserve">Six satellite foundation models (Prithvi-EO-2.0, TerraMind, DOFA, Clay, Satlas,</w:t>
      </w:r>
      <w:r>
        <w:t xml:space="preserve"> </w:t>
      </w:r>
      <w:r>
        <w:t xml:space="preserve">DeCUR) against a CNN and a U-Net, 92 training runs, tested on an Indian flood none had seen. A U-Net won</w:t>
      </w:r>
      <w:r>
        <w:t xml:space="preserve"> </w:t>
      </w:r>
      <w:r>
        <w:t xml:space="preserve">(0.770 water IoU against 0.747 for the best foundation model;</w:t>
      </w:r>
      <w:r>
        <w:t xml:space="preserve"> </w:t>
      </w:r>
      <w:r>
        <w:t xml:space="preserve">fusion 0.776). An audit of all 92 runs found no problems and reproduces the published</w:t>
      </w:r>
      <w:r>
        <w:t xml:space="preserve"> </w:t>
      </w:r>
      <w:r>
        <w:t xml:space="preserve">TerraMind scores within a point (89.7 against 90.62).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flood atlas.</w:t>
      </w:r>
      <w:r>
        <w:t xml:space="preserve"> </w:t>
      </w:r>
      <w:r>
        <w:t xml:space="preserve">Monsoon floods are under cloud, so a radar-only TerraMind + U-Net model mapped all</w:t>
      </w:r>
      <w:r>
        <w:t xml:space="preserve"> </w:t>
      </w:r>
      <w:r>
        <w:t xml:space="preserve">590 Sentinel-1 passes over the delta from 2017 to 2026: 1,137 km² flooded at least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Flow-to-flood maps.</w:t>
      </w:r>
      <w:r>
        <w:t xml:space="preserve"> </w:t>
      </w:r>
      <w:r>
        <w:t xml:space="preserve">Every 20 m pixel gets the Naraj flow at which it starts to flood, so a forecast flow</w:t>
      </w:r>
      <w:r>
        <w:t xml:space="preserve"> </w:t>
      </w:r>
      <w:r>
        <w:t xml:space="preserve">becomes a map. On years held out from fitting it beats flood climatology at high flows (IoU</w:t>
      </w:r>
      <w:r>
        <w:t xml:space="preserve"> </w:t>
      </w:r>
      <w:r>
        <w:t xml:space="preserve">0.20 against 0.04). A learned model that adds rain and flood history does</w:t>
      </w:r>
      <w:r>
        <w:t xml:space="preserve"> </w:t>
      </w:r>
      <w:r>
        <w:t xml:space="preserve">better still on heavy-rain passes (0.22 against 0.15).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Impacts across the department’s specializations.</w:t>
      </w:r>
      <w:r>
        <w:t xml:space="preserve"> </w:t>
      </w:r>
      <w:r>
        <w:t xml:space="preserve">The same flood scenarios answer one question for each of</w:t>
      </w:r>
      <w:r>
        <w:t xml:space="preserve"> </w:t>
      </w:r>
      <w:r>
        <w:t xml:space="preserve">transportation, structural, geotechnical, ocean, construction management, water resources (with the watershed</w:t>
      </w:r>
      <w:r>
        <w:t xml:space="preserve"> </w:t>
      </w:r>
      <w:r>
        <w:t xml:space="preserve">above the delta) and remote sensing.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for the partner.</w:t>
      </w:r>
      <w:r>
        <w:t xml:space="preserve"> </w:t>
      </w:r>
      <w:r>
        <w:t xml:space="preserve">A forecast-to-bulletin tool that also writes CAP alerts, an interactive map viewer,</w:t>
      </w:r>
      <w:r>
        <w:t xml:space="preserve"> </w:t>
      </w:r>
      <w:r>
        <w:t xml:space="preserve">siren and river-gauge sites, and a project website.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field-visit kit</w:t>
      </w:r>
      <w:r>
        <w:t xml:space="preserve"> </w:t>
      </w:r>
      <w:r>
        <w:t xml:space="preserve">that measures what the models cannot know: accuracy at 40 random points, discharge and</w:t>
      </w:r>
      <w:r>
        <w:t xml:space="preserve"> </w:t>
      </w:r>
      <w:r>
        <w:t xml:space="preserve">roughness, bridges, bank soils, well levels.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Forecasts and live warnings.</w:t>
      </w:r>
      <w:r>
        <w:t xml:space="preserve"> </w:t>
      </w:r>
      <w:r>
        <w:t xml:space="preserve">A model forecasts the Naraj flow one to three days ahead from the upstream flows and catchment rain (efficiency 0.89 three days ahead, against 0.79 for assuming no change). A live feed reads each day’s GloFAS ensemble, ECMWF rain and the official NDMA and CWC alerts and issues an impact-based warning: the villages to warn with dates, the villages that lose their hospital, the roads that close, a CAP alert and an Atom feed.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basins.</w:t>
      </w:r>
      <w:r>
        <w:t xml:space="preserve"> </w:t>
      </w:r>
      <w:r>
        <w:t xml:space="preserve">The same pipeline mapped the Brahmani–Baitarani delta (394 passes, 2,277 km² flooded at least once, 131,620 people on the largest flood seen) and the Brahmaputra at Majuli (346 passes, 2,145 km² flooded at least once, 137,306 people on the largest flood seen) from every radar pass since 2017; both run in the live feed under the same impact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in rupees.</w:t>
      </w:r>
      <w:r>
        <w:t xml:space="preserve"> </w:t>
      </w:r>
      <w:r>
        <w:t xml:space="preserve">Flood damage to houses and paddy is at least ₹17 crore a year; raising the ten critical roads repays its cost about 17 times in hospital access alone.</w:t>
      </w:r>
    </w:p>
    <w:bookmarkEnd w:id="10"/>
    <w:bookmarkStart w:id="11" w:name="Xbcd1cff29e443b3472c84780367347bbc01b4b2"/>
    <w:p>
      <w:pPr>
        <w:pStyle w:val="Heading2"/>
      </w:pPr>
      <w:r>
        <w:t xml:space="preserve">Key numbers (25-year flood, 32,997 m³/s at Naraj, unless stated)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flooded / people living on it</w:t>
            </w:r>
          </w:p>
        </w:tc>
        <w:tc>
          <w:tcPr/>
          <w:p>
            <w:pPr>
              <w:pStyle w:val="Compact"/>
            </w:pPr>
            <w:r>
              <w:t xml:space="preserve">240 km² / 30,427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Settlements with 10 % or more of people on flooded land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cut off from every hospital (transportation)</w:t>
            </w:r>
          </w:p>
        </w:tc>
        <w:tc>
          <w:tcPr/>
          <w:p>
            <w:pPr>
              <w:pStyle w:val="Compact"/>
            </w:pPr>
            <w:r>
              <w:t xml:space="preserve">52,423 in 41 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travel every day</w:t>
            </w:r>
          </w:p>
        </w:tc>
        <w:tc>
          <w:tcPr/>
          <w:p>
            <w:pPr>
              <w:pStyle w:val="Compact"/>
            </w:pPr>
            <w:r>
              <w:t xml:space="preserve">10,077 person-hours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where the flood is 1 m deep or more; brick walls crack at (structural)</w:t>
            </w:r>
          </w:p>
        </w:tc>
        <w:tc>
          <w:tcPr/>
          <w:p>
            <w:pPr>
              <w:pStyle w:val="Compact"/>
            </w:pPr>
            <w:r>
              <w:t xml:space="preserve">4,080; about 0.8–1.0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Pier scour below high flood level, a quarter of the 100-year flow</w:t>
            </w:r>
          </w:p>
        </w:tc>
        <w:tc>
          <w:tcPr/>
          <w:p>
            <w:pPr>
              <w:pStyle w:val="Compact"/>
            </w:pPr>
            <w:r>
              <w:t xml:space="preserve">7–24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on soaked ground beside the flood; bearing loss (geotechnical)</w:t>
            </w:r>
          </w:p>
        </w:tc>
        <w:tc>
          <w:tcPr/>
          <w:p>
            <w:pPr>
              <w:pStyle w:val="Compact"/>
            </w:pPr>
            <w:r>
              <w:t xml:space="preserve">441,605; about 55 %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floods that followed a Bay of Bengal storm (ocean)</w:t>
            </w:r>
          </w:p>
        </w:tc>
        <w:tc>
          <w:tcPr/>
          <w:p>
            <w:pPr>
              <w:pStyle w:val="Compact"/>
            </w:pPr>
            <w:r>
              <w:t xml:space="preserve">11 of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window; earthwork to raise critical roads (construction)</w:t>
            </w:r>
          </w:p>
        </w:tc>
        <w:tc>
          <w:tcPr/>
          <w:p>
            <w:pPr>
              <w:pStyle w:val="Compact"/>
            </w:pPr>
            <w:r>
              <w:t xml:space="preserve">December–April; 27,603 m³ (about ₹0.97 crore)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a flood peak from Hirakud dam (watershed)</w:t>
            </w:r>
          </w:p>
        </w:tc>
        <w:tc>
          <w:tcPr/>
          <w:p>
            <w:pPr>
              <w:pStyle w:val="Compact"/>
            </w:pPr>
            <w:r>
              <w:t xml:space="preserve">median 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Sirens and coverage</w:t>
            </w:r>
          </w:p>
        </w:tc>
        <w:tc>
          <w:tcPr/>
          <w:p>
            <w:pPr>
              <w:pStyle w:val="Compact"/>
            </w:pPr>
            <w:r>
              <w:t xml:space="preserve">40 sirens reach 48% of exposed people at 1.5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flood damage a year (houses + paddy, lower bound)</w:t>
            </w:r>
          </w:p>
        </w:tc>
        <w:tc>
          <w:tcPr/>
          <w:p>
            <w:pPr>
              <w:pStyle w:val="Compact"/>
            </w:pPr>
            <w:r>
              <w:t xml:space="preserve">₹17 crore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Raising the ten critical roads: benefit / cost</w:t>
            </w:r>
          </w:p>
        </w:tc>
        <w:tc>
          <w:tcPr/>
          <w:p>
            <w:pPr>
              <w:pStyle w:val="Compact"/>
            </w:pPr>
            <w:r>
              <w:t xml:space="preserve">17 :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Naraj flow forecast, 1 / 2 / 3 days ahead (efficiency; 1 = perfect)</w:t>
            </w:r>
          </w:p>
        </w:tc>
        <w:tc>
          <w:tcPr/>
          <w:p>
            <w:pPr>
              <w:pStyle w:val="Compact"/>
            </w:pPr>
            <w:r>
              <w:t xml:space="preserve">0.99 / 0.94 / 0.89</w:t>
            </w:r>
          </w:p>
        </w:tc>
      </w:tr>
    </w:tbl>
    <w:bookmarkEnd w:id="11"/>
    <w:bookmarkStart w:id="12" w:name="what-it-means-for-climmatech"/>
    <w:p>
      <w:pPr>
        <w:pStyle w:val="Heading2"/>
      </w:pPr>
      <w:r>
        <w:t xml:space="preserve">What it means for ClimMaTech</w:t>
      </w:r>
    </w:p>
    <w:p>
      <w:pPr>
        <w:pStyle w:val="FirstParagraph"/>
      </w:pPr>
      <w:r>
        <w:t xml:space="preserve">Their system lists a map-based River View layer, but no flood extent stands behind it; their alert areas are drawn</w:t>
      </w:r>
      <w:r>
        <w:t xml:space="preserve"> </w:t>
      </w:r>
      <w:r>
        <w:t xml:space="preserve">by hand; their solution pages show illustrative networks. This project adds the flood-extent and impact layers for one</w:t>
      </w:r>
      <w:r>
        <w:t xml:space="preserve"> </w:t>
      </w:r>
      <w:r>
        <w:t xml:space="preserve">delta, bulletins and CAP alerts for each forecast, a live feed that turns every day’s forecast into an impact-based</w:t>
      </w:r>
      <w:r>
        <w:t xml:space="preserve"> </w:t>
      </w:r>
      <w:r>
        <w:t xml:space="preserve">warning, a network of sites placed with data, and a field method to turn their radar gauge readings into discharge.</w:t>
      </w:r>
    </w:p>
    <w:bookmarkEnd w:id="12"/>
    <w:bookmarkStart w:id="13" w:name="limits-and-next-steps"/>
    <w:p>
      <w:pPr>
        <w:pStyle w:val="Heading2"/>
      </w:pPr>
      <w:r>
        <w:t xml:space="preserve">Limits and next steps</w:t>
      </w:r>
    </w:p>
    <w:p>
      <w:pPr>
        <w:pStyle w:val="FirstParagraph"/>
      </w:pPr>
      <w:r>
        <w:t xml:space="preserve">River flow is modelled (GloFAS), not gauged; pass-level skill is modest because floodplain flooding is patchy; depth</w:t>
      </w:r>
      <w:r>
        <w:t xml:space="preserve"> </w:t>
      </w:r>
      <w:r>
        <w:t xml:space="preserve">comes from a 30 m elevation model; soil, masonry and bed values are textbook values until the lab tests; the radar</w:t>
      </w:r>
      <w:r>
        <w:t xml:space="preserve"> </w:t>
      </w:r>
      <w:r>
        <w:t xml:space="preserve">misses shallow water among crops (it finds 22% of the flood water Sentinel-2 sees). Next: the field visit,</w:t>
      </w:r>
      <w:r>
        <w:t xml:space="preserve"> </w:t>
      </w:r>
      <w:r>
        <w:t xml:space="preserve">CWC/WRD flows, fine-tuning on the</w:t>
      </w:r>
      <w:r>
        <w:t xml:space="preserve"> </w:t>
      </w:r>
      <w:r>
        <w:t xml:space="preserve">delta with Sentinel-2 labels, and the Hirakud reservoir.</w:t>
      </w:r>
    </w:p>
    <w:p>
      <w:pPr>
        <w:pStyle w:val="BodyText"/>
      </w:pPr>
      <w:r>
        <w:rPr>
          <w:b/>
          <w:bCs/>
        </w:rPr>
        <w:t xml:space="preserve">Find everything: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report/FINAL_REPORT.docx</w:t>
      </w:r>
      <w:r>
        <w:t xml:space="preserve">, slides</w:t>
      </w:r>
      <w:r>
        <w:t xml:space="preserve"> </w:t>
      </w:r>
      <w:r>
        <w:rPr>
          <w:rStyle w:val="VerbatimChar"/>
        </w:rPr>
        <w:t xml:space="preserve">report/Prithvi_Flood-IN_Final.pptx</w:t>
      </w:r>
      <w:r>
        <w:t xml:space="preserve">, website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, map viewer</w:t>
      </w:r>
      <w:r>
        <w:t xml:space="preserve"> </w:t>
      </w:r>
      <w:r>
        <w:rPr>
          <w:rStyle w:val="VerbatimChar"/>
        </w:rPr>
        <w:t xml:space="preserve">dashboard/index.html</w:t>
      </w:r>
      <w:r>
        <w:t xml:space="preserve">, live warnings</w:t>
      </w:r>
      <w:r>
        <w:t xml:space="preserve"> </w:t>
      </w:r>
      <w:r>
        <w:rPr>
          <w:rStyle w:val="VerbatimChar"/>
        </w:rPr>
        <w:t xml:space="preserve">live/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live/run_live.py</w:t>
      </w:r>
      <w:r>
        <w:t xml:space="preserve">), field kit</w:t>
      </w:r>
      <w:r>
        <w:t xml:space="preserve"> </w:t>
      </w:r>
      <w:r>
        <w:rPr>
          <w:rStyle w:val="VerbatimChar"/>
        </w:rPr>
        <w:t xml:space="preserve">fieldkit/</w:t>
      </w:r>
      <w:r>
        <w:t xml:space="preserve">,</w:t>
      </w:r>
      <w:r>
        <w:t xml:space="preserve"> </w:t>
      </w:r>
      <w:r>
        <w:t xml:space="preserve">plan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2026-10-30T20:38:39Z</dcterms:created>
  <dcterms:modified xsi:type="dcterms:W3CDTF">2026-10-30T20:38:39Z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