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4" w:name="prithvi-flood-in-executive-summary"/>
    <w:p>
      <w:pPr>
        <w:pStyle w:val="Heading1"/>
      </w:pPr>
      <w:r>
        <w:t xml:space="preserve">Prithvi Flood-IN: executive summary</w:t>
      </w:r>
    </w:p>
    <w:p>
      <w:pPr>
        <w:pStyle w:val="FirstParagraph"/>
      </w:pPr>
      <w:r>
        <w:rPr>
          <w:b/>
          <w:bCs/>
        </w:rPr>
        <w:t xml:space="preserve">What floods when the Mahanadi rises: a satellite flood atlas, flow-to-flood maps and engineering impacts for the</w:t>
      </w:r>
      <w:r>
        <w:rPr>
          <w:b/>
          <w:bCs/>
        </w:rPr>
        <w:t xml:space="preserve"> </w:t>
      </w:r>
      <w:r>
        <w:rPr>
          <w:b/>
          <w:bCs/>
        </w:rPr>
        <w:t xml:space="preserve">Mahanadi delta.</w:t>
      </w:r>
      <w:r>
        <w:t xml:space="preserve"> </w:t>
      </w:r>
      <w:r>
        <w:t xml:space="preserve">Integrated Design Project, Department of Civil Engineering, IIT Bombay, 2026. Team: Nikhil</w:t>
      </w:r>
      <w:r>
        <w:t xml:space="preserve"> </w:t>
      </w:r>
      <w:r>
        <w:t xml:space="preserve">Upadhyay (lead), Vineet Jangir, Prakhar Gupta, Himanshu Shete, Prabhat Kumar. Faculty guide: Prof. Basudev Biswal.</w:t>
      </w:r>
      <w:r>
        <w:t xml:space="preserve"> </w:t>
      </w:r>
      <w:r>
        <w:t xml:space="preserve">Industry partner: ClimMaTech (IIT Mandi), Dr. Vivek Gupta and Siddik Barbhuiya.</w:t>
      </w:r>
    </w:p>
    <w:bookmarkStart w:id="9" w:name="the-problem"/>
    <w:p>
      <w:pPr>
        <w:pStyle w:val="Heading2"/>
      </w:pPr>
      <w:r>
        <w:t xml:space="preserve">The problem</w:t>
      </w:r>
    </w:p>
    <w:p>
      <w:pPr>
        <w:pStyle w:val="FirstParagraph"/>
      </w:pPr>
      <w:r>
        <w:t xml:space="preserve">Flood warning systems in India, including our partner’s radar gauges, sirens and app, measure and forecast the river</w:t>
      </w:r>
      <w:r>
        <w:t xml:space="preserve"> </w:t>
      </w:r>
      <w:r>
        <w:t xml:space="preserve">at a point. None of them shows what a forecast flow floods: which fields, villages, roads, bridges and river banks go</w:t>
      </w:r>
      <w:r>
        <w:t xml:space="preserve"> </w:t>
      </w:r>
      <w:r>
        <w:t xml:space="preserve">under, and who must be warned. We built that missing step for the Mahanadi delta below Naraj (3,038 km², about</w:t>
      </w:r>
      <w:r>
        <w:t xml:space="preserve"> </w:t>
      </w:r>
      <w:r>
        <w:t xml:space="preserve">4.1 million people), which floods every few years.</w:t>
      </w:r>
    </w:p>
    <w:bookmarkEnd w:id="9"/>
    <w:bookmarkStart w:id="10" w:name="what-we-built"/>
    <w:p>
      <w:pPr>
        <w:pStyle w:val="Heading2"/>
      </w:pPr>
      <w:r>
        <w:t xml:space="preserve">What we built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 fair model benchmark.</w:t>
      </w:r>
      <w:r>
        <w:t xml:space="preserve"> </w:t>
      </w:r>
      <w:r>
        <w:t xml:space="preserve">Six satellite foundation models (Prithvi-EO-2.0, TerraMind, DOFA, Clay, Satlas,</w:t>
      </w:r>
      <w:r>
        <w:t xml:space="preserve"> </w:t>
      </w:r>
      <w:r>
        <w:t xml:space="preserve">DeCUR) against a CNN and a U-Net, 92 training runs, tested on an Indian flood none had seen. A U-Net won</w:t>
      </w:r>
      <w:r>
        <w:t xml:space="preserve"> </w:t>
      </w:r>
      <w:r>
        <w:t xml:space="preserve">(0.770 water IoU against 0.747 for the best foundation model;</w:t>
      </w:r>
      <w:r>
        <w:t xml:space="preserve"> </w:t>
      </w:r>
      <w:r>
        <w:t xml:space="preserve">fusion 0.776). An audit of all 92 runs found no problems and reproduces the published</w:t>
      </w:r>
      <w:r>
        <w:t xml:space="preserve"> </w:t>
      </w:r>
      <w:r>
        <w:t xml:space="preserve">TerraMind scores within a point (89.7 against 90.62).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 flood atlas.</w:t>
      </w:r>
      <w:r>
        <w:t xml:space="preserve"> </w:t>
      </w:r>
      <w:r>
        <w:t xml:space="preserve">Monsoon floods are under cloud, so a radar-only TerraMind + U-Net model mapped all</w:t>
      </w:r>
      <w:r>
        <w:t xml:space="preserve"> </w:t>
      </w:r>
      <w:r>
        <w:t xml:space="preserve">590 Sentinel-1 passes over the delta from 2017 to 2026: 905 km² flooded at least once.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Flow-to-flood maps.</w:t>
      </w:r>
      <w:r>
        <w:t xml:space="preserve"> </w:t>
      </w:r>
      <w:r>
        <w:t xml:space="preserve">Every 20 m pixel gets the Naraj flow at which it starts to flood, so a forecast flow</w:t>
      </w:r>
      <w:r>
        <w:t xml:space="preserve"> </w:t>
      </w:r>
      <w:r>
        <w:t xml:space="preserve">becomes a map. On years held out from fitting it beats flood climatology at high flows (IoU</w:t>
      </w:r>
      <w:r>
        <w:t xml:space="preserve"> </w:t>
      </w:r>
      <w:r>
        <w:t xml:space="preserve">0.23 against 0.07). A learned model that adds rain and flood history does</w:t>
      </w:r>
      <w:r>
        <w:t xml:space="preserve"> </w:t>
      </w:r>
      <w:r>
        <w:t xml:space="preserve">better still on heavy-rain passes (0.22 against 0.17).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Impacts across the department’s specializations.</w:t>
      </w:r>
      <w:r>
        <w:t xml:space="preserve"> </w:t>
      </w:r>
      <w:r>
        <w:t xml:space="preserve">The same flood scenarios answer one question for each of</w:t>
      </w:r>
      <w:r>
        <w:t xml:space="preserve"> </w:t>
      </w:r>
      <w:r>
        <w:t xml:space="preserve">transportation, structural, geotechnical, ocean, construction management, water resources (with the watershed</w:t>
      </w:r>
      <w:r>
        <w:t xml:space="preserve"> </w:t>
      </w:r>
      <w:r>
        <w:t xml:space="preserve">above the delta) and remote sensing.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Tools for the partner.</w:t>
      </w:r>
      <w:r>
        <w:t xml:space="preserve"> </w:t>
      </w:r>
      <w:r>
        <w:t xml:space="preserve">A forecast-to-bulletin tool that also writes CAP alerts, an interactive map viewer,</w:t>
      </w:r>
      <w:r>
        <w:t xml:space="preserve"> </w:t>
      </w:r>
      <w:r>
        <w:t xml:space="preserve">siren and river-gauge sites, and a project website.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 field-visit kit</w:t>
      </w:r>
      <w:r>
        <w:t xml:space="preserve"> </w:t>
      </w:r>
      <w:r>
        <w:t xml:space="preserve">that measures what the models cannot know: accuracy at 40 random points, discharge and</w:t>
      </w:r>
      <w:r>
        <w:t xml:space="preserve"> </w:t>
      </w:r>
      <w:r>
        <w:t xml:space="preserve">roughness, bridges, bank soils, well levels.</w:t>
      </w:r>
    </w:p>
    <w:bookmarkEnd w:id="10"/>
    <w:bookmarkStart w:id="11" w:name="Xbcd1cff29e443b3472c84780367347bbc01b4b2"/>
    <w:p>
      <w:pPr>
        <w:pStyle w:val="Heading2"/>
      </w:pPr>
      <w:r>
        <w:t xml:space="preserve">Key numbers (25-year flood, 32,997 m³/s at Naraj, unless stated)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What</w:t>
            </w:r>
          </w:p>
        </w:tc>
        <w:tc>
          <w:tcPr/>
          <w:p>
            <w:pPr>
              <w:pStyle w:val="Compact"/>
            </w:pPr>
            <w:r>
              <w:t xml:space="preserve">Number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Land flooded / people living on it</w:t>
            </w:r>
          </w:p>
        </w:tc>
        <w:tc>
          <w:tcPr/>
          <w:p>
            <w:pPr>
              <w:pStyle w:val="Compact"/>
            </w:pPr>
            <w:r>
              <w:t xml:space="preserve">216 km² / 25,163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Settlements with 10 % or more of people on flooded land</w:t>
            </w:r>
          </w:p>
        </w:tc>
        <w:tc>
          <w:tcPr/>
          <w:p>
            <w:pPr>
              <w:pStyle w:val="Compact"/>
            </w:pPr>
            <w:r>
              <w:t xml:space="preserve">24</w:t>
            </w:r>
          </w:p>
        </w:tc>
      </w:tr>
      <w:tr>
        <w:tc>
          <w:tcPr/>
          <w:p>
            <w:pPr>
              <w:pStyle w:val="Compact"/>
            </w:pPr>
            <w:r>
              <w:t xml:space="preserve">People cut off from every hospital (transportation)</w:t>
            </w:r>
          </w:p>
        </w:tc>
        <w:tc>
          <w:tcPr/>
          <w:p>
            <w:pPr>
              <w:pStyle w:val="Compact"/>
            </w:pPr>
            <w:r>
              <w:t xml:space="preserve">36,941 in 32 settlements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Extra travel every day</w:t>
            </w:r>
          </w:p>
        </w:tc>
        <w:tc>
          <w:tcPr/>
          <w:p>
            <w:pPr>
              <w:pStyle w:val="Compact"/>
            </w:pPr>
            <w:r>
              <w:t xml:space="preserve">12,023 person-hours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People where the flood is 1 m deep or more; brick walls crack at (structural)</w:t>
            </w:r>
          </w:p>
        </w:tc>
        <w:tc>
          <w:tcPr/>
          <w:p>
            <w:pPr>
              <w:pStyle w:val="Compact"/>
            </w:pPr>
            <w:r>
              <w:t xml:space="preserve">3,626; about 0.8–1.0 m</w:t>
            </w:r>
          </w:p>
        </w:tc>
      </w:tr>
      <w:tr>
        <w:tc>
          <w:tcPr/>
          <w:p>
            <w:pPr>
              <w:pStyle w:val="Compact"/>
            </w:pPr>
            <w:r>
              <w:t xml:space="preserve">Pier scour below high flood level, a quarter of the 100-year flow</w:t>
            </w:r>
          </w:p>
        </w:tc>
        <w:tc>
          <w:tcPr/>
          <w:p>
            <w:pPr>
              <w:pStyle w:val="Compact"/>
            </w:pPr>
            <w:r>
              <w:t xml:space="preserve">7–24 m</w:t>
            </w:r>
          </w:p>
        </w:tc>
      </w:tr>
      <w:tr>
        <w:tc>
          <w:tcPr/>
          <w:p>
            <w:pPr>
              <w:pStyle w:val="Compact"/>
            </w:pPr>
            <w:r>
              <w:t xml:space="preserve">People on soaked ground beside the flood; bearing loss (geotechnical)</w:t>
            </w:r>
          </w:p>
        </w:tc>
        <w:tc>
          <w:tcPr/>
          <w:p>
            <w:pPr>
              <w:pStyle w:val="Compact"/>
            </w:pPr>
            <w:r>
              <w:t xml:space="preserve">415,549; about 55 %</w:t>
            </w:r>
          </w:p>
        </w:tc>
      </w:tr>
      <w:tr>
        <w:tc>
          <w:tcPr/>
          <w:p>
            <w:pPr>
              <w:pStyle w:val="Compact"/>
            </w:pPr>
            <w:r>
              <w:t xml:space="preserve">Largest floods that followed a Bay of Bengal storm (ocean)</w:t>
            </w:r>
          </w:p>
        </w:tc>
        <w:tc>
          <w:tcPr/>
          <w:p>
            <w:pPr>
              <w:pStyle w:val="Compact"/>
            </w:pPr>
            <w:r>
              <w:t xml:space="preserve">11 of 20</w:t>
            </w:r>
          </w:p>
        </w:tc>
      </w:tr>
      <w:tr>
        <w:tc>
          <w:tcPr/>
          <w:p>
            <w:pPr>
              <w:pStyle w:val="Compact"/>
            </w:pPr>
            <w:r>
              <w:t xml:space="preserve">Work window; earthwork to raise critical roads (construction)</w:t>
            </w:r>
          </w:p>
        </w:tc>
        <w:tc>
          <w:tcPr/>
          <w:p>
            <w:pPr>
              <w:pStyle w:val="Compact"/>
            </w:pPr>
            <w:r>
              <w:t xml:space="preserve">December–April; 17,442 m³ (about ₹0.61 crore)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Share of a flood peak from Hirakud dam (watershed)</w:t>
            </w:r>
          </w:p>
        </w:tc>
        <w:tc>
          <w:tcPr/>
          <w:p>
            <w:pPr>
              <w:pStyle w:val="Compact"/>
            </w:pPr>
            <w:r>
              <w:t xml:space="preserve">median 48%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Sirens and coverage</w:t>
            </w:r>
          </w:p>
        </w:tc>
        <w:tc>
          <w:tcPr/>
          <w:p>
            <w:pPr>
              <w:pStyle w:val="Compact"/>
            </w:pPr>
            <w:r>
              <w:t xml:space="preserve">40 sirens reach 49% of exposed people at 1.5 km</w:t>
            </w:r>
          </w:p>
        </w:tc>
      </w:tr>
    </w:tbl>
    <w:bookmarkEnd w:id="11"/>
    <w:bookmarkStart w:id="12" w:name="what-it-means-for-climmatech"/>
    <w:p>
      <w:pPr>
        <w:pStyle w:val="Heading2"/>
      </w:pPr>
      <w:r>
        <w:t xml:space="preserve">What it means for ClimMaTech</w:t>
      </w:r>
    </w:p>
    <w:p>
      <w:pPr>
        <w:pStyle w:val="FirstParagraph"/>
      </w:pPr>
      <w:r>
        <w:t xml:space="preserve">Their system lists a map-based River View layer, but no flood extent stands behind it; their alert areas are drawn</w:t>
      </w:r>
      <w:r>
        <w:t xml:space="preserve"> </w:t>
      </w:r>
      <w:r>
        <w:t xml:space="preserve">by hand; their solution pages show illustrative networks. This project adds the flood-extent and impact layers for one</w:t>
      </w:r>
      <w:r>
        <w:t xml:space="preserve"> </w:t>
      </w:r>
      <w:r>
        <w:t xml:space="preserve">delta, bulletins and CAP alerts for each forecast, a network of sites placed with data, and a field method to turn</w:t>
      </w:r>
      <w:r>
        <w:t xml:space="preserve"> </w:t>
      </w:r>
      <w:r>
        <w:t xml:space="preserve">their radar gauge readings into discharge.</w:t>
      </w:r>
    </w:p>
    <w:bookmarkEnd w:id="12"/>
    <w:bookmarkStart w:id="13" w:name="limits-and-next-steps"/>
    <w:p>
      <w:pPr>
        <w:pStyle w:val="Heading2"/>
      </w:pPr>
      <w:r>
        <w:t xml:space="preserve">Limits and next steps</w:t>
      </w:r>
    </w:p>
    <w:p>
      <w:pPr>
        <w:pStyle w:val="FirstParagraph"/>
      </w:pPr>
      <w:r>
        <w:t xml:space="preserve">River flow is modelled (GloFAS), not gauged; pass-level skill is modest because floodplain flooding is patchy; depth</w:t>
      </w:r>
      <w:r>
        <w:t xml:space="preserve"> </w:t>
      </w:r>
      <w:r>
        <w:t xml:space="preserve">comes from a 30 m elevation model; soil, masonry and bed values are textbook values until the lab tests; the radar</w:t>
      </w:r>
      <w:r>
        <w:t xml:space="preserve"> </w:t>
      </w:r>
      <w:r>
        <w:t xml:space="preserve">misses shallow water among crops (it finds 22% of the flood water Sentinel-2 sees). Next: the field visit,</w:t>
      </w:r>
      <w:r>
        <w:t xml:space="preserve"> </w:t>
      </w:r>
      <w:r>
        <w:t xml:space="preserve">CWC/WRD flows, the radar models retrained at 20 m (ready, 0.681 against</w:t>
      </w:r>
      <w:r>
        <w:t xml:space="preserve"> </w:t>
      </w:r>
      <w:r>
        <w:t xml:space="preserve">0.646), fine-tuning on the delta with Sentinel-2 labels, and the Hirakud reservoir.</w:t>
      </w:r>
    </w:p>
    <w:p>
      <w:pPr>
        <w:pStyle w:val="BodyText"/>
      </w:pPr>
      <w:r>
        <w:rPr>
          <w:b/>
          <w:bCs/>
        </w:rPr>
        <w:t xml:space="preserve">Find everything:</w:t>
      </w:r>
      <w:r>
        <w:t xml:space="preserve"> </w:t>
      </w:r>
      <w:r>
        <w:t xml:space="preserve">report</w:t>
      </w:r>
      <w:r>
        <w:t xml:space="preserve"> </w:t>
      </w:r>
      <w:r>
        <w:rPr>
          <w:rStyle w:val="VerbatimChar"/>
        </w:rPr>
        <w:t xml:space="preserve">report/FINAL_REPORT.docx</w:t>
      </w:r>
      <w:r>
        <w:t xml:space="preserve">, slides</w:t>
      </w:r>
      <w:r>
        <w:t xml:space="preserve"> </w:t>
      </w:r>
      <w:r>
        <w:rPr>
          <w:rStyle w:val="VerbatimChar"/>
        </w:rPr>
        <w:t xml:space="preserve">report/Prithvi_Flood-IN_Final.pptx</w:t>
      </w:r>
      <w:r>
        <w:t xml:space="preserve">, website</w:t>
      </w:r>
      <w:r>
        <w:t xml:space="preserve"> </w:t>
      </w:r>
      <w:r>
        <w:rPr>
          <w:rStyle w:val="VerbatimChar"/>
        </w:rPr>
        <w:t xml:space="preserve">website/</w:t>
      </w:r>
      <w:r>
        <w:t xml:space="preserve">, map viewer</w:t>
      </w:r>
      <w:r>
        <w:t xml:space="preserve"> </w:t>
      </w:r>
      <w:r>
        <w:rPr>
          <w:rStyle w:val="VerbatimChar"/>
        </w:rPr>
        <w:t xml:space="preserve">dashboard/index.html</w:t>
      </w:r>
      <w:r>
        <w:t xml:space="preserve">, field kit</w:t>
      </w:r>
      <w:r>
        <w:t xml:space="preserve"> </w:t>
      </w:r>
      <w:r>
        <w:rPr>
          <w:rStyle w:val="VerbatimChar"/>
        </w:rPr>
        <w:t xml:space="preserve">fieldkit/</w:t>
      </w:r>
      <w:r>
        <w:t xml:space="preserve">, plan</w:t>
      </w:r>
      <w:r>
        <w:t xml:space="preserve"> </w:t>
      </w:r>
      <w:r>
        <w:rPr>
          <w:rStyle w:val="VerbatimChar"/>
        </w:rPr>
        <w:t xml:space="preserve">PLAN.md</w:t>
      </w:r>
      <w:r>
        <w:t xml:space="preserve">.</w:t>
      </w:r>
    </w:p>
    <w:bookmarkEnd w:id="13"/>
    <w:bookmarkEnd w:id="1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2026-10-29T13:09:41Z</dcterms:created>
  <dcterms:modified xsi:type="dcterms:W3CDTF">2026-10-29T13:09:41Z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