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104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136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9"/>
          <w:pgSz w:w="11906" w:h="16838"/>
          <w:pgMar w:top="1134" w:right="1134" w:bottom="1134" w:left="1134" w:header="567" w:footer="720" w:gutter="0"/>
          <w:cols w:space="720"/>
          <w:docGrid w:linePitch="360"/>
        </w:sectPr>
      </w:pPr>
    </w:p>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76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560" w:after="0" w:line="240" w:lineRule="auto"/>
              <w:ind w:left="0" w:right="0"/>
              <w:jc w:val="center"/>
            </w:pPr>
            <w:r>
              <w:rPr>
                <w:rFonts w:ascii="Times New Roman" w:hAnsi="Times New Roman" w:eastAsia="Times New Roman"/>
                <w:b/>
                <w:i w:val="0"/>
                <w:sz w:val="30"/>
              </w:rPr>
              <w:t>GIẢNG VIÊN HƯỚNG DẪN:</w:t>
            </w:r>
          </w:p>
          <w:p>
            <w:pPr>
              <w:keepNext w:val="0"/>
              <w:widowControl/>
              <w:spacing w:before="0" w:after="0" w:line="240" w:lineRule="auto"/>
              <w:ind w:left="0" w:right="0"/>
              <w:jc w:val="center"/>
            </w:pPr>
            <w:r>
              <w:rPr>
                <w:rFonts w:ascii="Times New Roman" w:hAnsi="Times New Roman" w:eastAsia="Times New Roman"/>
                <w:b/>
                <w:i w:val="0"/>
                <w:sz w:val="30"/>
              </w:rPr>
              <w:t>[HỌ VÀ TÊN GIẢNG VIÊN]</w:t>
            </w:r>
          </w:p>
          <w:p>
            <w:pPr>
              <w:keepNext w:val="0"/>
              <w:widowControl/>
              <w:spacing w:before="68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10"/>
          <w:type w:val="continuous"/>
          <w:pgSz w:w="11906" w:h="16838"/>
          <w:pgMar w:top="1134" w:right="1134" w:bottom="1134" w:left="1134" w:header="567" w:footer="720" w:gutter="0"/>
          <w:cols w:space="720"/>
          <w:docGrid w:linePitch="360"/>
        </w:sectPr>
      </w:pPr>
    </w:p>
    <w:p>
      <w:pPr>
        <w:pStyle w:val="Heading1"/>
        <w:keepNext/>
        <w:widowControl/>
        <w:spacing w:before="200" w:after="80" w:line="360" w:lineRule="auto"/>
        <w:ind w:left="0" w:right="0"/>
        <w:jc w:val="left"/>
      </w:pPr>
      <w:r>
        <w:rPr>
          <w:rFonts w:ascii="Times New Roman" w:hAnsi="Times New Roman" w:eastAsia="Times New Roman"/>
          <w:b/>
          <w:i w:val="0"/>
          <w:sz w:val="28"/>
        </w:rPr>
        <w:t>1. LÝ DO CHỌN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Thu nhập chỉ được theo dõi như một chỉ số phụ nhằm phát hiện tác dụng ngoài dự kiến. Các giá trị cải thiện cụ thể chỉ được kết luận sau khi hoàn tất thực nghiệm.</w:t>
      </w:r>
    </w:p>
    <w:p>
      <w:pPr>
        <w:pStyle w:val="Heading1"/>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pPr>
        <w:pStyle w:val="Heading2"/>
        <w:keepNext/>
        <w:widowControl/>
        <w:spacing w:before="120" w:after="40" w:line="360" w:lineRule="auto"/>
        <w:ind w:left="0" w:right="0"/>
        <w:jc w:val="left"/>
      </w:pPr>
      <w:r>
        <w:rPr>
          <w:rFonts w:ascii="Times New Roman" w:hAnsi="Times New Roman" w:eastAsia="Times New Roman"/>
          <w:b/>
          <w:i w:val="0"/>
          <w:sz w:val="26"/>
        </w:rPr>
        <w:t>2.1. Các hướng tiếp cận điều phối gọi xe</w:t>
      </w:r>
    </w:p>
    <w:p>
      <w:pPr>
        <w:keepNext w:val="0"/>
        <w:widowControl/>
        <w:spacing w:before="0" w:after="0" w:line="360" w:lineRule="auto"/>
        <w:ind w:left="0" w:right="0" w:firstLine="567"/>
        <w:jc w:val="both"/>
      </w:pPr>
      <w:r>
        <w:rPr>
          <w:rFonts w:ascii="Times New Roman" w:hAnsi="Times New Roman" w:eastAsia="Times New Roman"/>
          <w:b w:val="0"/>
          <w:i w:val="0"/>
          <w:sz w:val="26"/>
        </w:rPr>
        <w:t>Các nghiên cứu về điều phối gọi xe có thể được khái quát thành ba hướng chính. Hướng thứ nhất là điều phối tức thời, thường sử dụng quy tắc First-Come, First-Served hoặc chọn tài xế gần nhất. Nhóm phương pháp này có ưu điểm là đơn giản và phản hồi nhanh, nhưng mỗi quyết định được thực hiện riêng lẻ nên dễ bỏ qua ảnh hưởng của quyết định hiện tại đối với các yêu cầu tiếp theo.</w:t>
      </w:r>
    </w:p>
    <w:p>
      <w:pPr>
        <w:keepNext w:val="0"/>
        <w:widowControl/>
        <w:spacing w:before="0" w:after="0" w:line="360" w:lineRule="auto"/>
        <w:ind w:left="0" w:right="0" w:firstLine="567"/>
        <w:jc w:val="both"/>
      </w:pPr>
      <w:r>
        <w:rPr>
          <w:rFonts w:ascii="Times New Roman" w:hAnsi="Times New Roman" w:eastAsia="Times New Roman"/>
          <w:b w:val="0"/>
          <w:i w:val="0"/>
          <w:sz w:val="26"/>
        </w:rPr>
        <w:t>Hướng thứ hai là tối ưu theo Batch. Hệ thống chờ trong một khoảng thời gian ngắn, tập hợp các yêu cầu mới và tài xế khả dụng, rồi giải bài toán ghép nối tổng thể. Với quy mô nhỏ, bài toán có thể được giải bằng các mô hình tối ưu chính xác như lập trình tuyến tính nguyên hoặc luồng chi phí cực tiểu. Khi quy mô Batch tăng và thời gian ra quyết định bị giới hạn, heuristic và metaheuristic trở thành lựa chọn phù hợp để tìm lời giải chất lượng tốt trong thời gian chấp nhận được.</w:t>
      </w:r>
    </w:p>
    <w:p>
      <w:pPr>
        <w:keepNext w:val="0"/>
        <w:widowControl/>
        <w:spacing w:before="0" w:after="0" w:line="360" w:lineRule="auto"/>
        <w:ind w:left="0" w:right="0" w:firstLine="567"/>
        <w:jc w:val="both"/>
      </w:pPr>
      <w:r>
        <w:rPr>
          <w:rFonts w:ascii="Times New Roman" w:hAnsi="Times New Roman" w:eastAsia="Times New Roman"/>
          <w:b w:val="0"/>
          <w:i w:val="0"/>
          <w:sz w:val="26"/>
        </w:rPr>
        <w:t>Hướng thứ ba mở rộng bài toán sang tối ưu đa mục tiêu, trong đó hiệu quả vận hành được xem xét đồng thời với chất lượng phục vụ hoặc công bằng đối với tài xế. Cách cộng trọng số có thể tạo một hàm mục tiêu duy nhất, nhưng kết quả phụ thuộc vào trọng số được chọn trước và có thể không mô tả đầy đủ các phương án trên biên Pareto. Các thuật toán tiến hóa đa mục tiêu như NSGA-II cho phép duy trì đồng thời nhiều nghiệm không trội, nhờ đó hỗ trợ phân tích đánh đổi giữa các mục tiêu.</w:t>
      </w:r>
    </w:p>
    <w:p>
      <w:pPr>
        <w:pStyle w:val="Heading2"/>
        <w:keepNext/>
        <w:widowControl/>
        <w:spacing w:before="120" w:after="40" w:line="360" w:lineRule="auto"/>
        <w:ind w:left="0" w:right="0"/>
        <w:jc w:val="left"/>
      </w:pPr>
      <w:r>
        <w:rPr>
          <w:rFonts w:ascii="Times New Roman" w:hAnsi="Times New Roman" w:eastAsia="Times New Roman"/>
          <w:b/>
          <w:i w:val="0"/>
          <w:sz w:val="26"/>
        </w:rPr>
        <w:t>2.2. Khoảng trống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Trong phạm vi tài liệu nguồn hiện có, khoảng trống được xác định ở việc xây dựng một quy trình thống nhất gồm: cơ chế Batching; mô hình ghép tài xế–yêu cầu có cửa sổ thời gian; hai mục tiêu hiệu quả và công bằng; cách mã hóa số nguyên; cơ chế sửa nghiệm; và khung mô phỏng nhiều Batch liên tiếp. Vấn đề cần kiểm chứng không phải là NSGA-II luôn tốt hơn mọi phương pháp, mà là thuật toán có thể tạo ra tập nghiệm Pareto hữu ích và vận hành trong giới hạn thời gian của một Batch hay không.</w:t>
      </w:r>
    </w:p>
    <w:p>
      <w:pPr>
        <w:keepNext w:val="0"/>
        <w:widowControl/>
        <w:spacing w:before="0" w:after="0" w:line="360" w:lineRule="auto"/>
        <w:ind w:left="0" w:right="0" w:firstLine="567"/>
        <w:jc w:val="both"/>
      </w:pPr>
      <w:r>
        <w:rPr>
          <w:rFonts w:ascii="Times New Roman" w:hAnsi="Times New Roman" w:eastAsia="Times New Roman"/>
          <w:b w:val="0"/>
          <w:i/>
          <w:sz w:val="26"/>
        </w:rPr>
        <w:t>Phần tổng quan hiện chưa có thông tin thư mục đầy đủ cho các công trình đã tham khảo. Trước khi nộp chính thức, cần bổ sung các nguồn khoa học cụ thể và trích dẫn IEEE tương ứng cho các nhận định về NSGA-II, tối ưu theo Batch, bài toán ghép nối gọi xe và đo lường công bằng.</w:t>
      </w:r>
    </w:p>
    <w:p>
      <w:pPr>
        <w:pStyle w:val="Heading1"/>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3.1. Mục đích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p>
    <w:p>
      <w:pPr>
        <w:pStyle w:val="Heading2"/>
        <w:keepNext/>
        <w:widowControl/>
        <w:spacing w:before="120" w:after="40" w:line="360" w:lineRule="auto"/>
        <w:ind w:left="0" w:right="0"/>
        <w:jc w:val="left"/>
      </w:pPr>
      <w:r>
        <w:rPr>
          <w:rFonts w:ascii="Times New Roman" w:hAnsi="Times New Roman" w:eastAsia="Times New Roman"/>
          <w:b/>
          <w:i w:val="0"/>
          <w:sz w:val="26"/>
        </w:rPr>
        <w:t>3.2. Nhiệm vụ nghiên cứu</w:t>
      </w:r>
    </w:p>
    <w:p>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tỷ lệ tiếp cận cuốc, phân phối thu nhập, thời gian tính toán và chất lượng tập nghiệm Pareto.</w:t>
      </w:r>
    </w:p>
    <w:p>
      <w:pPr>
        <w:pStyle w:val="Heading1"/>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4.1. Đối tượng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pPr>
        <w:pStyle w:val="Heading2"/>
        <w:keepNext/>
        <w:widowControl/>
        <w:spacing w:before="120" w:after="40" w:line="360" w:lineRule="auto"/>
        <w:ind w:left="0" w:right="0"/>
        <w:jc w:val="left"/>
      </w:pPr>
      <w:r>
        <w:rPr>
          <w:rFonts w:ascii="Times New Roman" w:hAnsi="Times New Roman" w:eastAsia="Times New Roman"/>
          <w:b/>
          <w:i w:val="0"/>
          <w:sz w:val="26"/>
        </w:rPr>
        <w:t>4.2. Phạm vi nội dung</w:t>
      </w:r>
    </w:p>
    <w:p>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p>
    <w:p>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và giới hạn thời gian đến điểm đón. Vì mô hình không xét đi chung xe hoặc một tài xế phục vụ chuỗi nhiều yêu cầu trong cùng Batch, ràng buộc sức chứa và thứ tự đón–trả không được đưa vào mô hình cơ sở; đây là hướng mở rộng sau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pPr>
        <w:pStyle w:val="Heading2"/>
        <w:keepNext/>
        <w:widowControl/>
        <w:spacing w:before="120" w:after="40" w:line="360" w:lineRule="auto"/>
        <w:ind w:left="0" w:right="0"/>
        <w:jc w:val="left"/>
      </w:pPr>
      <w:r>
        <w:rPr>
          <w:rFonts w:ascii="Times New Roman" w:hAnsi="Times New Roman" w:eastAsia="Times New Roman"/>
          <w:b/>
          <w:i w:val="0"/>
          <w:sz w:val="26"/>
        </w:rPr>
        <w:t>4.4. Giả định và giới hạn</w:t>
      </w:r>
    </w:p>
    <w:p>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pPr>
        <w:keepNext w:val="0"/>
        <w:widowControl/>
        <w:spacing w:before="0" w:after="0" w:line="360" w:lineRule="auto"/>
        <w:ind w:left="567" w:right="0" w:hanging="283"/>
        <w:jc w:val="both"/>
      </w:pPr>
      <w:r>
        <w:rPr>
          <w:rFonts w:ascii="Times New Roman" w:hAnsi="Times New Roman" w:eastAsia="Times New Roman"/>
          <w:sz w:val="26"/>
        </w:rPr>
        <w:t>- Hành khách không hủy chuyến sau khi đã được gán; trạng thái tài xế được cập nhật chính xác sau mỗi Batch.</w:t>
      </w:r>
    </w:p>
    <w:p>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 giá trị 120 giây chỉ dùng cho phân tích độ nhạy, không phải cấu hình mặc định cạnh tranh.</w:t>
      </w:r>
    </w:p>
    <w:p>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pPr>
        <w:pStyle w:val="Heading1"/>
        <w:keepNext/>
        <w:widowControl/>
        <w:spacing w:before="200" w:after="80" w:line="360" w:lineRule="auto"/>
        <w:ind w:left="0" w:right="0"/>
        <w:jc w:val="left"/>
      </w:pPr>
      <w:r>
        <w:rPr>
          <w:rFonts w:ascii="Times New Roman" w:hAnsi="Times New Roman" w:eastAsia="Times New Roman"/>
          <w:b/>
          <w:i w:val="0"/>
          <w:sz w:val="28"/>
        </w:rPr>
        <w:t>5. PHƯƠNG PHÁP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5.1. Thiết kế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pPr>
        <w:pStyle w:val="Heading2"/>
        <w:keepNext/>
        <w:widowControl/>
        <w:spacing w:before="120" w:after="40" w:line="360" w:lineRule="auto"/>
        <w:ind w:left="0" w:right="0"/>
        <w:jc w:val="left"/>
      </w:pPr>
      <w:r>
        <w:rPr>
          <w:rFonts w:ascii="Times New Roman" w:hAnsi="Times New Roman" w:eastAsia="Times New Roman"/>
          <w:b/>
          <w:i w:val="0"/>
          <w:sz w:val="26"/>
        </w:rPr>
        <w:t>5.2. Cơ chế Batching</w:t>
      </w:r>
    </w:p>
    <w:p>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pPr>
        <w:pStyle w:val="Heading2"/>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pPr>
        <w:pStyle w:val="Heading3"/>
        <w:keepNext/>
        <w:widowControl/>
        <w:spacing w:before="120" w:after="40" w:line="360" w:lineRule="auto"/>
        <w:ind w:left="0" w:right="0"/>
        <w:jc w:val="left"/>
      </w:pPr>
      <w:r>
        <w:rPr>
          <w:rFonts w:ascii="Times New Roman" w:hAnsi="Times New Roman" w:eastAsia="Times New Roman"/>
          <w:b/>
          <w:i/>
          <w:sz w:val="26"/>
        </w:rPr>
        <w:t>5.3.1. Tập hợp và biến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w:t>
      </w:r>
    </w:p>
    <w:p>
      <w:pPr>
        <w:pStyle w:val="Heading3"/>
        <w:keepNext/>
        <w:widowControl/>
        <w:spacing w:before="120" w:after="40" w:line="360" w:lineRule="auto"/>
        <w:ind w:left="0" w:right="0"/>
        <w:jc w:val="left"/>
      </w:pPr>
      <w:r>
        <w:rPr>
          <w:rFonts w:ascii="Times New Roman" w:hAnsi="Times New Roman" w:eastAsia="Times New Roman"/>
          <w:b/>
          <w:i/>
          <w:sz w:val="26"/>
        </w:rPr>
        <w:t>5.3.2. Hàm mục tiêu</w:t>
      </w:r>
    </w:p>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nary>
                <m:naryPr>
                  <m:chr m:val="∑"/>
                  <m:limLoc m:val="undOvr"/>
                  <m:grow m:val="1"/>
                  <m:subHide m:val="off"/>
                  <m:supHide m:val="off"/>
                </m:naryPr>
                <m:sub>
                  <m:r>
                    <m:t>i∈D</m:t>
                  </m:r>
                </m:sub>
                <m:sup/>
                <m:e/>
              </m:nary>
              <m:nary>
                <m:naryPr>
                  <m:chr m:val="∑"/>
                  <m:limLoc m:val="undOvr"/>
                  <m:grow m:val="1"/>
                  <m:subHide m:val="off"/>
                  <m:supHide m:val="off"/>
                </m:naryPr>
                <m:sub>
                  <m:r>
                    <m:t>j∈R</m:t>
                  </m:r>
                </m:sub>
                <m:sup/>
                <m:e/>
              </m:nary>
              <m:sSub>
                <m:e>
                  <m:r>
                    <m:t>x</m:t>
                  </m:r>
                </m:e>
                <m:sub>
                  <m:r>
                    <m:t>ij</m:t>
                  </m:r>
                </m:sub>
              </m:sSub>
              <m:r>
                <m:t>·</m:t>
              </m:r>
              <m:r>
                <m:rPr>
                  <m:sty m:val="p"/>
                </m:rPr>
                <m:t>dist</m:t>
              </m:r>
              <m:r>
                <m:t>(</m:t>
              </m:r>
              <m:sSub>
                <m:e>
                  <m:r>
                    <m:t>d</m:t>
                  </m:r>
                </m:e>
                <m:sub>
                  <m:r>
                    <m:t>i</m:t>
                  </m:r>
                </m:sub>
              </m:sSub>
              <m:r>
                <m:t>,</m:t>
              </m:r>
              <m:sSub>
                <m:e>
                  <m:r>
                    <m:t>p</m:t>
                  </m:r>
                </m:e>
                <m:sub>
                  <m:r>
                    <m:t>j</m:t>
                  </m:r>
                </m:sub>
              </m:sSub>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cơ hội nhận cuốc, gọi eᵢ là số Batch tính đến thời điểm hiện tại mà tài xế i đang sẵn sàng và có ít nhất một yêu cầu khả thi; nᵢ là số cuốc tích lũy mà tài xế i đã được phân sau khi áp dụng phương án X. Gọi D⁺ là tập tài xế có eᵢ &gt; 0, qᵢ là tỷ lệ tiếp cận cuốc của tài xế i và q̄ là tỷ lệ trung bình: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q</m:t>
                  </m:r>
                </m:e>
                <m:sub>
                  <m:r>
                    <m:t>i</m:t>
                  </m:r>
                </m:sub>
              </m:sSub>
              <m:r>
                <m:t>=</m:t>
              </m:r>
              <m:f>
                <m:fPr>
                  <m:type m:val="bar"/>
                </m:fPr>
                <m:num>
                  <m:sSub>
                    <m:e>
                      <m:r>
                        <m:t>n</m:t>
                      </m:r>
                    </m:e>
                    <m:sub>
                      <m:r>
                        <m:t>i</m:t>
                      </m:r>
                    </m:sub>
                  </m:sSub>
                </m:num>
                <m:den>
                  <m:sSub>
                    <m:e>
                      <m:r>
                        <m:t>e</m:t>
                      </m:r>
                    </m:e>
                    <m:sub>
                      <m:r>
                        <m:t>i</m:t>
                      </m:r>
                    </m:sub>
                  </m:sSub>
                </m:den>
              </m:f>
              <m:r>
                <m:t>,</m:t>
              </m:r>
              <m:bar>
                <m:barPr>
                  <m:pos m:val="top"/>
                </m:barPr>
                <m:e>
                  <m:r>
                    <m:t>q</m:t>
                  </m:r>
                </m:e>
              </m:bar>
              <m:r>
                <m:t>=</m:t>
              </m:r>
              <m:f>
                <m:fPr>
                  <m:type m:val="bar"/>
                </m:fPr>
                <m:num>
                  <m:r>
                    <m:t>1</m:t>
                  </m:r>
                </m:num>
                <m:den>
                  <m:r>
                    <m:t>|</m:t>
                  </m:r>
                  <m:sSup>
                    <m:e>
                      <m:r>
                        <m:t>D</m:t>
                      </m:r>
                    </m:e>
                    <m:sup>
                      <m:r>
                        <m:t>+</m:t>
                      </m:r>
                    </m:sup>
                  </m:sSup>
                  <m:r>
                    <m:t>|</m:t>
                  </m:r>
                </m:den>
              </m:f>
              <m:nary>
                <m:naryPr>
                  <m:chr m:val="∑"/>
                  <m:limLoc m:val="undOvr"/>
                  <m:grow m:val="1"/>
                  <m:subHide m:val="off"/>
                  <m:supHide m:val="off"/>
                </m:naryPr>
                <m:sub>
                  <m:r>
                    <m:t>i∈</m:t>
                  </m:r>
                  <m:sSup>
                    <m:e>
                      <m:r>
                        <m:t>D</m:t>
                      </m:r>
                    </m:e>
                    <m:sup>
                      <m:r>
                        <m:t>+</m:t>
                      </m:r>
                    </m:sup>
                  </m:sSup>
                </m:sub>
                <m:sup/>
                <m:e/>
              </m:nary>
              <m:sSub>
                <m:e>
                  <m:r>
                    <m:t>q</m:t>
                  </m:r>
                </m:e>
                <m:sub>
                  <m:r>
                    <m:t>i</m:t>
                  </m:r>
                </m:sub>
              </m:sSub>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(5.2)</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của tỷ lệ tiếp cận cuốc giữa các tài xế đã có ít nhất một cơ hội khả thi: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2</m:t>
                  </m:r>
                </m:sub>
              </m:sSub>
              <m:r>
                <m:t>(X)=</m:t>
              </m:r>
              <m:rad>
                <m:radPr>
                  <m:degHide m:val="on"/>
                </m:radPr>
                <m:deg/>
                <m:e>
                  <m:f>
                    <m:fPr>
                      <m:type m:val="bar"/>
                    </m:fPr>
                    <m:num>
                      <m:r>
                        <m:t>1</m:t>
                      </m:r>
                    </m:num>
                    <m:den>
                      <m:r>
                        <m:t>|</m:t>
                      </m:r>
                      <m:sSup>
                        <m:e>
                          <m:r>
                            <m:t>D</m:t>
                          </m:r>
                        </m:e>
                        <m:sup>
                          <m:r>
                            <m:t>+</m:t>
                          </m:r>
                        </m:sup>
                      </m:sSup>
                      <m:r>
                        <m:t>|</m:t>
                      </m:r>
                    </m:den>
                  </m:f>
                  <m:nary>
                    <m:naryPr>
                      <m:chr m:val="∑"/>
                      <m:limLoc m:val="undOvr"/>
                      <m:grow m:val="1"/>
                      <m:subHide m:val="off"/>
                      <m:supHide m:val="off"/>
                    </m:naryPr>
                    <m:sub>
                      <m:r>
                        <m:t>i∈</m:t>
                      </m:r>
                      <m:sSup>
                        <m:e>
                          <m:r>
                            <m:t>D</m:t>
                          </m:r>
                        </m:e>
                        <m:sup>
                          <m:r>
                            <m:t>+</m:t>
                          </m:r>
                        </m:sup>
                      </m:sSup>
                    </m:sub>
                    <m:sup/>
                    <m:e/>
                  </m:nary>
                  <m:sSup>
                    <m:e>
                      <m:r>
                        <m:t>(</m:t>
                      </m:r>
                      <m:sSub>
                        <m:e>
                          <m:r>
                            <m:t>q</m:t>
                          </m:r>
                        </m:e>
                        <m:sub>
                          <m:r>
                            <m:t>i</m:t>
                          </m:r>
                        </m:sub>
                      </m:sSub>
                      <m:r>
                        <m:t>−</m:t>
                      </m:r>
                      <m:bar>
                        <m:barPr>
                          <m:pos m:val="top"/>
                        </m:barPr>
                        <m:e>
                          <m:r>
                            <m:t>q</m:t>
                          </m:r>
                        </m:e>
                      </m:bar>
                      <m:r>
                        <m:t>)</m:t>
                      </m:r>
                    </m:e>
                    <m:sup>
                      <m:r>
                        <m:t>2</m:t>
                      </m:r>
                    </m:sup>
                  </m:sSup>
                </m:e>
              </m:rad>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(5.3)</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sSub>
                <m:e>
                  <m:r>
                    <m:t>F</m:t>
                  </m:r>
                </m:e>
                <m:sub>
                  <m:r>
                    <m:t>2</m:t>
                  </m:r>
                </m:sub>
              </m:sSub>
              <m:r>
                <m:t>(X))</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(5.4)</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pPr>
        <w:pStyle w:val="Heading3"/>
        <w:keepNext/>
        <w:widowControl/>
        <w:spacing w:before="120" w:after="40" w:line="360" w:lineRule="auto"/>
        <w:ind w:left="0" w:right="0"/>
        <w:jc w:val="left"/>
      </w:pPr>
      <w:r>
        <w:rPr>
          <w:rFonts w:ascii="Times New Roman" w:hAnsi="Times New Roman" w:eastAsia="Times New Roman"/>
          <w:b/>
          <w:i/>
          <w:sz w:val="26"/>
        </w:rPr>
        <w:t>5.3.3. Các ràng buộc</w:t>
      </w:r>
    </w:p>
    <w:p>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i∈D</m:t>
                  </m:r>
                </m:sub>
                <m:sup/>
                <m:e/>
              </m:nary>
              <m:sSub>
                <m:e>
                  <m:r>
                    <m:t>x</m:t>
                  </m:r>
                </m:e>
                <m:sub>
                  <m:r>
                    <m:t>ij</m:t>
                  </m:r>
                </m:sub>
              </m:sSub>
              <m:r>
                <m:t>≤1,</m:t>
              </m:r>
              <m:r>
                <m:t>∀j∈R</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(5.5)</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j∈R</m:t>
                  </m:r>
                </m:sub>
                <m:sup/>
                <m:e/>
              </m:nary>
              <m:sSub>
                <m:e>
                  <m:r>
                    <m:t>x</m:t>
                  </m:r>
                </m:e>
                <m:sub>
                  <m:r>
                    <m:t>ij</m:t>
                  </m:r>
                </m:sub>
              </m:sSub>
              <m:r>
                <m:t>≤1,</m:t>
              </m:r>
              <m:r>
                <m:t>∀i∈D</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x</m:t>
                  </m:r>
                </m:e>
                <m:sub>
                  <m:r>
                    <m:t>ij</m:t>
                  </m:r>
                </m:sub>
              </m:sSub>
              <m:r>
                <m:t>=1⇒</m:t>
              </m:r>
              <m:sSubSup>
                <m:e>
                  <m:r>
                    <m:t>t</m:t>
                  </m:r>
                </m:e>
                <m:sub>
                  <m:r>
                    <m:t>j</m:t>
                  </m:r>
                </m:sub>
                <m:sup>
                  <m:r>
                    <m:rPr>
                      <m:sty m:val="p"/>
                    </m:rPr>
                    <m:t>req</m:t>
                  </m:r>
                </m:sup>
              </m:sSubSup>
              <m:r>
                <m:t>+</m:t>
              </m:r>
              <m:sSubSup>
                <m:e>
                  <m:r>
                    <m:t>t</m:t>
                  </m:r>
                </m:e>
                <m:sub>
                  <m:r>
                    <m:t>ij</m:t>
                  </m:r>
                </m:sub>
                <m:sup>
                  <m:r>
                    <m:rPr>
                      <m:sty m:val="p"/>
                    </m:rPr>
                    <m:t>pickup</m:t>
                  </m:r>
                </m:sup>
              </m:sSubSup>
              <m:r>
                <m:t>≤</m:t>
              </m:r>
              <m:sSubSup>
                <m:e>
                  <m:r>
                    <m:t>t</m:t>
                  </m:r>
                </m:e>
                <m:sub>
                  <m:r>
                    <m:t>j</m:t>
                  </m:r>
                </m:sub>
                <m:sup>
                  <m:r>
                    <m:rPr>
                      <m:sty m:val="p"/>
                    </m:rPr>
                    <m:t>max</m:t>
                  </m:r>
                </m:sup>
              </m:sSubSup>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(5.7)</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pPr>
        <w:pStyle w:val="Heading2"/>
        <w:keepNext/>
        <w:widowControl/>
        <w:spacing w:before="120" w:after="40" w:line="360" w:lineRule="auto"/>
        <w:ind w:left="0" w:right="0"/>
        <w:jc w:val="left"/>
      </w:pPr>
      <w:r>
        <w:rPr>
          <w:rFonts w:ascii="Times New Roman" w:hAnsi="Times New Roman" w:eastAsia="Times New Roman"/>
          <w:b/>
          <w:i w:val="0"/>
          <w:sz w:val="26"/>
        </w:rPr>
        <w:t>5.4. Thiết kế NSGA-II</w:t>
      </w:r>
    </w:p>
    <w:p>
      <w:pPr>
        <w:pStyle w:val="Heading3"/>
        <w:keepNext/>
        <w:widowControl/>
        <w:spacing w:before="120" w:after="40" w:line="360" w:lineRule="auto"/>
        <w:ind w:left="0" w:right="0"/>
        <w:jc w:val="left"/>
      </w:pPr>
      <w:r>
        <w:rPr>
          <w:rFonts w:ascii="Times New Roman" w:hAnsi="Times New Roman" w:eastAsia="Times New Roman"/>
          <w:b/>
          <w:i/>
          <w:sz w:val="26"/>
        </w:rPr>
        <w:t>5.4.1. Mã hóa và khởi tạo</w:t>
      </w:r>
    </w:p>
    <w:p>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pPr>
        <w:pStyle w:val="Heading3"/>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p>
                <m:e>
                  <m:r>
                    <m:t>X</m:t>
                  </m:r>
                </m:e>
                <m:sup>
                  <m:r>
                    <m:t>a</m:t>
                  </m:r>
                </m:sup>
              </m:sSup>
              <m:r>
                <m:t>≺</m:t>
              </m:r>
              <m:sSup>
                <m:e>
                  <m:r>
                    <m:t>X</m:t>
                  </m:r>
                </m:e>
                <m:sup>
                  <m:r>
                    <m:t>b</m:t>
                  </m:r>
                </m:sup>
              </m:sSup>
              <m:r>
                <m:t>⇔[∀k,</m:t>
              </m:r>
              <m:sSub>
                <m:e>
                  <m:r>
                    <m:t>F</m:t>
                  </m:r>
                </m:e>
                <m:sub>
                  <m:r>
                    <m:t>k</m:t>
                  </m:r>
                </m:sub>
              </m:sSub>
              <m:r>
                <m:t>(</m:t>
              </m:r>
              <m:sSup>
                <m:e>
                  <m:r>
                    <m:t>X</m:t>
                  </m:r>
                </m:e>
                <m:sup>
                  <m:r>
                    <m:t>a</m:t>
                  </m:r>
                </m:sup>
              </m:sSup>
              <m:r>
                <m:t>)≤</m:t>
              </m:r>
              <m:sSub>
                <m:e>
                  <m:r>
                    <m:t>F</m:t>
                  </m:r>
                </m:e>
                <m:sub>
                  <m:r>
                    <m:t>k</m:t>
                  </m:r>
                </m:sub>
              </m:sSub>
              <m:r>
                <m:t>(</m:t>
              </m:r>
              <m:sSup>
                <m:e>
                  <m:r>
                    <m:t>X</m:t>
                  </m:r>
                </m:e>
                <m:sup>
                  <m:r>
                    <m:t>b</m:t>
                  </m:r>
                </m:sup>
              </m:sSup>
              <m:r>
                <m:t>)]∧[∃k,</m:t>
              </m:r>
              <m:sSub>
                <m:e>
                  <m:r>
                    <m:t>F</m:t>
                  </m:r>
                </m:e>
                <m:sub>
                  <m:r>
                    <m:t>k</m:t>
                  </m:r>
                </m:sub>
              </m:sSub>
              <m:r>
                <m:t>(</m:t>
              </m:r>
              <m:sSup>
                <m:e>
                  <m:r>
                    <m:t>X</m:t>
                  </m:r>
                </m:e>
                <m:sup>
                  <m:r>
                    <m:t>a</m:t>
                  </m:r>
                </m:sup>
              </m:sSup>
              <m:r>
                <m:t>)&lt;</m:t>
              </m:r>
              <m:sSub>
                <m:e>
                  <m:r>
                    <m:t>F</m:t>
                  </m:r>
                </m:e>
                <m:sub>
                  <m:r>
                    <m:t>k</m:t>
                  </m:r>
                </m:sub>
              </m:sSub>
              <m:r>
                <m:t>(</m:t>
              </m:r>
              <m:sSup>
                <m:e>
                  <m:r>
                    <m:t>X</m:t>
                  </m:r>
                </m:e>
                <m:sup>
                  <m:r>
                    <m:t>b</m:t>
                  </m:r>
                </m:sup>
              </m:sSup>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(5.8)</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rPr>
                  <m:sty m:val="p"/>
                </m:rPr>
                <m:t>CD</m:t>
              </m:r>
              <m:r>
                <m:t>(i)=</m:t>
              </m:r>
              <m:nary>
                <m:naryPr>
                  <m:chr m:val="∑"/>
                  <m:limLoc m:val="undOvr"/>
                  <m:grow m:val="1"/>
                  <m:subHide m:val="off"/>
                  <m:supHide m:val="off"/>
                </m:naryPr>
                <m:sub>
                  <m:r>
                    <m:t>k=1</m:t>
                  </m:r>
                </m:sub>
                <m:sup>
                  <m:r>
                    <m:t>2</m:t>
                  </m:r>
                </m:sup>
                <m:e/>
              </m:nary>
              <m:f>
                <m:fPr>
                  <m:type m:val="bar"/>
                </m:fPr>
                <m:num>
                  <m:sSub>
                    <m:e>
                      <m:r>
                        <m:t>F</m:t>
                      </m:r>
                    </m:e>
                    <m:sub>
                      <m:r>
                        <m:t>k</m:t>
                      </m:r>
                    </m:sub>
                  </m:sSub>
                  <m:r>
                    <m:t>(i+1)−</m:t>
                  </m:r>
                  <m:sSub>
                    <m:e>
                      <m:r>
                        <m:t>F</m:t>
                      </m:r>
                    </m:e>
                    <m:sub>
                      <m:r>
                        <m:t>k</m:t>
                      </m:r>
                    </m:sub>
                  </m:sSub>
                  <m:r>
                    <m:t>(i−1)</m:t>
                  </m:r>
                </m:num>
                <m:den>
                  <m:sSubSup>
                    <m:e>
                      <m:r>
                        <m:t>F</m:t>
                      </m:r>
                    </m:e>
                    <m:sub>
                      <m:r>
                        <m:t>k</m:t>
                      </m:r>
                    </m:sub>
                    <m:sup>
                      <m:r>
                        <m:rPr>
                          <m:sty m:val="p"/>
                        </m:rPr>
                        <m:t>max</m:t>
                      </m:r>
                    </m:sup>
                  </m:sSubSup>
                  <m:r>
                    <m:t>−</m:t>
                  </m:r>
                  <m:sSubSup>
                    <m:e>
                      <m:r>
                        <m:t>F</m:t>
                      </m:r>
                    </m:e>
                    <m:sub>
                      <m:r>
                        <m:t>k</m:t>
                      </m:r>
                    </m:sub>
                    <m:sup>
                      <m:r>
                        <m:rPr>
                          <m:sty m:val="p"/>
                        </m:rPr>
                        <m:t>min</m:t>
                      </m:r>
                    </m:sup>
                  </m:sSubSup>
                </m:den>
              </m:f>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(5.9)</w:t>
            </w:r>
          </w:p>
        </w:tc>
      </w:tr>
    </w:tbl>
    <w:p>
      <w:pPr>
        <w:pStyle w:val="Heading3"/>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pPr>
        <w:pStyle w:val="Heading2"/>
        <w:keepNext/>
        <w:widowControl/>
        <w:spacing w:before="120" w:after="40" w:line="360" w:lineRule="auto"/>
        <w:ind w:left="0" w:right="0"/>
        <w:jc w:val="left"/>
      </w:pPr>
      <w:r>
        <w:rPr>
          <w:rFonts w:ascii="Times New Roman" w:hAnsi="Times New Roman" w:eastAsia="Times New Roman"/>
          <w:b/>
          <w:i w:val="0"/>
          <w:sz w:val="26"/>
        </w:rPr>
        <w:t>5.5. Thực nghiệm và đánh giá</w:t>
      </w:r>
    </w:p>
    <w:p>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tỷ lệ tiếp cận cuốc, phân phối số cuốc, thời gian tính toán mỗi Batch và tỷ lệ nghiệm khả thi. Thu nhập tích lũy và độ lệch thu nhập được báo cáo như chỉ số phụ để kiểm tra liệu việc cân bằng cơ hội có dẫn đến chênh lệch giá trị cuốc hay không.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pPr>
        <w:pStyle w:val="Heading1"/>
        <w:keepNext/>
        <w:widowControl/>
        <w:spacing w:before="200" w:after="80" w:line="360" w:lineRule="auto"/>
        <w:ind w:left="0" w:right="0"/>
        <w:jc w:val="left"/>
      </w:pPr>
      <w:r>
        <w:rPr>
          <w:rFonts w:ascii="Times New Roman" w:hAnsi="Times New Roman" w:eastAsia="Times New Roman"/>
          <w:b/>
          <w:i w:val="0"/>
          <w:sz w:val="28"/>
        </w:rPr>
        <w:t>6. GIẢ THUYẾT KHOA HỌC</w:t>
      </w:r>
    </w:p>
    <w:p>
      <w:pPr>
        <w:pStyle w:val="Heading2"/>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độ lệch tỷ lệ tiếp cận cuốc nhỏ hơn Greedy, trong khi vẫn duy trì tỷ lệ phục vụ và cửa sổ thời gian ở mức chấp nhận được. Giả thuyết được kiểm tra bằng so sánh các chỉ số trên nhiều lần chạy.</w:t>
      </w:r>
    </w:p>
    <w:p>
      <w:pPr>
        <w:pStyle w:val="Heading2"/>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pPr>
        <w:pStyle w:val="Heading2"/>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pPr>
        <w:pStyle w:val="Heading2"/>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t</m:t>
                  </m:r>
                </m:e>
                <m:sub>
                  <m:r>
                    <m:rPr>
                      <m:sty m:val="p"/>
                    </m:rPr>
                    <m:t>compute</m:t>
                  </m:r>
                </m:sub>
              </m:sSub>
              <m:r>
                <m:t>&lt;</m:t>
              </m:r>
              <m:r>
                <m:rPr>
                  <m:sty m:val="p"/>
                </m:rPr>
                <m:t>ΔT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(6.1)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pPr>
        <w:pStyle w:val="Heading1"/>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tỷ lệ tiếp cận cuốc, có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pPr>
        <w:pStyle w:val="Heading1"/>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TableGrid"/>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197"/>
        <w:gridCol w:w="2197"/>
        <w:gridCol w:w="2197"/>
        <w:gridCol w:w="2197"/>
      </w:tblGrid>
      <w:tr>
        <w:trPr>
          <w:tblHeader w:val="true"/>
        </w:trPr>
        <w:tc>
          <w:tcPr>
            <w:tcW w:type="dxa" w:w="90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Giai đoạn</w:t>
            </w:r>
          </w:p>
        </w:tc>
        <w:tc>
          <w:tcPr>
            <w:tcW w:type="dxa" w:w="3118"/>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Nội dung công việc</w:t>
            </w:r>
          </w:p>
        </w:tc>
        <w:tc>
          <w:tcPr>
            <w:tcW w:type="dxa" w:w="124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Thời gian</w:t>
            </w:r>
          </w:p>
        </w:tc>
        <w:tc>
          <w:tcPr>
            <w:tcW w:type="dxa" w:w="2381"/>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Sản phẩm dự kiến</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1</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Tổng quan tài liệu; xác định câu hỏi, khoảng trống và tiêu chí đánh giá.</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1</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Khung lý thuyết; danh mục nguồn; đề cương chi tiết.</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2</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2</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Tập dữ liệu sạch; đặc tả mô hình, biến và ràng buộc.</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3</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Cài đặt Greedy, môi trường mô phỏng và các thành phần NSGA-II.</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3</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Mã nguồn chạy được; bộ kiểm thử ràng buộc.</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4</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4</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Cấu hình thực nghiệm; báo cáo kiểm thử và hiệu chỉnh.</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5</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Chạy thí nghiệm cao điểm, thấp điểm và độ nhạy; tổng hợp số liệu.</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5</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Tập kết quả; biểu đồ Pareto; bảng so sánh với Greedy.</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6</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6</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Báo cáo ĐACN; mã nguồn và phụ lục; slide bảo vệ.</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pPr>
        <w:pStyle w:val="Heading1"/>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pPr>
        <w:keepNext w:val="0"/>
        <w:widowControl/>
        <w:spacing w:before="0" w:after="0" w:line="360" w:lineRule="auto"/>
        <w:ind w:left="0" w:right="0" w:firstLine="567"/>
        <w:jc w:val="both"/>
      </w:pPr>
      <w:r>
        <w:rPr>
          <w:rFonts w:ascii="Times New Roman" w:hAnsi="Times New Roman" w:eastAsia="Times New Roman"/>
          <w:b w:val="0"/>
          <w:i w:val="0"/>
          <w:sz w:val="26"/>
        </w:rPr>
        <w:t>Tệp nguồn dành cho phần này chưa có nội dung. Cấu trúc dưới đây được xây dựng từ mục tiêu, mô hình và kế hoạch nghiên cứu đã nêu, gồm ba chương theo mẫu hướng dẫn:</w:t>
      </w:r>
    </w:p>
    <w:p>
      <w:pPr>
        <w:pStyle w:val="Heading2"/>
        <w:keepNext/>
        <w:widowControl/>
        <w:spacing w:before="120" w:after="40" w:line="360" w:lineRule="auto"/>
        <w:ind w:left="0" w:right="0"/>
        <w:jc w:val="left"/>
      </w:pPr>
      <w:r>
        <w:rPr>
          <w:rFonts w:ascii="Times New Roman" w:hAnsi="Times New Roman" w:eastAsia="Times New Roman"/>
          <w:b/>
          <w:i w:val="0"/>
          <w:sz w:val="26"/>
        </w:rPr>
        <w:t>Chương 1. Cơ sở lý thuyết và tổng quan nghiên cứu</w:t>
      </w:r>
    </w:p>
    <w:p>
      <w:pPr>
        <w:keepNext w:val="0"/>
        <w:widowControl/>
        <w:spacing w:before="0" w:after="0" w:line="360" w:lineRule="auto"/>
        <w:ind w:left="567" w:right="0" w:hanging="283"/>
        <w:jc w:val="both"/>
      </w:pPr>
      <w:r>
        <w:rPr>
          <w:rFonts w:ascii="Times New Roman" w:hAnsi="Times New Roman" w:eastAsia="Times New Roman"/>
          <w:sz w:val="26"/>
        </w:rPr>
        <w:t>- 1.1. Bài toán điều phối gọi xe và các yêu cầu vận hành.</w:t>
      </w:r>
    </w:p>
    <w:p>
      <w:pPr>
        <w:keepNext w:val="0"/>
        <w:widowControl/>
        <w:spacing w:before="0" w:after="0" w:line="360" w:lineRule="auto"/>
        <w:ind w:left="567" w:right="0" w:hanging="283"/>
        <w:jc w:val="both"/>
      </w:pPr>
      <w:r>
        <w:rPr>
          <w:rFonts w:ascii="Times New Roman" w:hAnsi="Times New Roman" w:eastAsia="Times New Roman"/>
          <w:sz w:val="26"/>
        </w:rPr>
        <w:t>- 1.2. Cơ chế Batching và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- 1.3. Tối ưu đa mục tiêu, quan hệ trội và biên Pareto.</w:t>
      </w:r>
    </w:p>
    <w:p>
      <w:pPr>
        <w:keepNext w:val="0"/>
        <w:widowControl/>
        <w:spacing w:before="0" w:after="0" w:line="360" w:lineRule="auto"/>
        <w:ind w:left="567" w:right="0" w:hanging="283"/>
        <w:jc w:val="both"/>
      </w:pPr>
      <w:r>
        <w:rPr>
          <w:rFonts w:ascii="Times New Roman" w:hAnsi="Times New Roman" w:eastAsia="Times New Roman"/>
          <w:sz w:val="26"/>
        </w:rPr>
        <w:t>- 1.4. Thuật toán NSGA-II và các nghiên cứu liên quan.</w:t>
      </w:r>
    </w:p>
    <w:p>
      <w:pPr>
        <w:keepNext w:val="0"/>
        <w:widowControl/>
        <w:spacing w:before="0" w:after="0" w:line="360" w:lineRule="auto"/>
        <w:ind w:left="567" w:right="0" w:hanging="283"/>
        <w:jc w:val="both"/>
      </w:pPr>
      <w:r>
        <w:rPr>
          <w:rFonts w:ascii="Times New Roman" w:hAnsi="Times New Roman" w:eastAsia="Times New Roman"/>
          <w:sz w:val="26"/>
        </w:rPr>
        <w:t>- 1.5. Khoảng trống nghiên cứu và định hướng của đề tài.</w:t>
      </w:r>
    </w:p>
    <w:p>
      <w:pPr>
        <w:pStyle w:val="Heading2"/>
        <w:keepNext/>
        <w:widowControl/>
        <w:spacing w:before="120" w:after="40" w:line="360" w:lineRule="auto"/>
        <w:ind w:left="0" w:right="0"/>
        <w:jc w:val="left"/>
      </w:pPr>
      <w:r>
        <w:rPr>
          <w:rFonts w:ascii="Times New Roman" w:hAnsi="Times New Roman" w:eastAsia="Times New Roman"/>
          <w:b/>
          <w:i w:val="0"/>
          <w:sz w:val="26"/>
        </w:rPr>
        <w:t>Chương 2. Mô hình bài toán và phương pháp đề xuất</w:t>
      </w:r>
    </w:p>
    <w:p>
      <w:pPr>
        <w:keepNext w:val="0"/>
        <w:widowControl/>
        <w:spacing w:before="0" w:after="0" w:line="360" w:lineRule="auto"/>
        <w:ind w:left="567" w:right="0" w:hanging="283"/>
        <w:jc w:val="both"/>
      </w:pPr>
      <w:r>
        <w:rPr>
          <w:rFonts w:ascii="Times New Roman" w:hAnsi="Times New Roman" w:eastAsia="Times New Roman"/>
          <w:sz w:val="26"/>
        </w:rPr>
        <w:t>- 2.1. Phát biểu bài toán, giả định, tập hợp và biến quyết định.</w:t>
      </w:r>
    </w:p>
    <w:p>
      <w:pPr>
        <w:keepNext w:val="0"/>
        <w:widowControl/>
        <w:spacing w:before="0" w:after="0" w:line="360" w:lineRule="auto"/>
        <w:ind w:left="567" w:right="0" w:hanging="283"/>
        <w:jc w:val="both"/>
      </w:pPr>
      <w:r>
        <w:rPr>
          <w:rFonts w:ascii="Times New Roman" w:hAnsi="Times New Roman" w:eastAsia="Times New Roman"/>
          <w:sz w:val="26"/>
        </w:rPr>
        <w:t>- 2.2. Hai hàm mục tiêu và các ràng buộc.</w:t>
      </w:r>
    </w:p>
    <w:p>
      <w:pPr>
        <w:keepNext w:val="0"/>
        <w:widowControl/>
        <w:spacing w:before="0" w:after="0" w:line="360" w:lineRule="auto"/>
        <w:ind w:left="567" w:right="0" w:hanging="283"/>
        <w:jc w:val="both"/>
      </w:pPr>
      <w:r>
        <w:rPr>
          <w:rFonts w:ascii="Times New Roman" w:hAnsi="Times New Roman" w:eastAsia="Times New Roman"/>
          <w:sz w:val="26"/>
        </w:rPr>
        <w:t>- 2.3. Mô hình vận hành theo Batch.</w:t>
      </w:r>
    </w:p>
    <w:p>
      <w:pPr>
        <w:keepNext w:val="0"/>
        <w:widowControl/>
        <w:spacing w:before="0" w:after="0" w:line="360" w:lineRule="auto"/>
        <w:ind w:left="567" w:right="0" w:hanging="283"/>
        <w:jc w:val="both"/>
      </w:pPr>
      <w:r>
        <w:rPr>
          <w:rFonts w:ascii="Times New Roman" w:hAnsi="Times New Roman" w:eastAsia="Times New Roman"/>
          <w:sz w:val="26"/>
        </w:rPr>
        <w:t>- 2.4. Mã hóa, toán tử tiến hóa và cơ chế sửa nghiệm.</w:t>
      </w:r>
    </w:p>
    <w:p>
      <w:pPr>
        <w:keepNext w:val="0"/>
        <w:widowControl/>
        <w:spacing w:before="0" w:after="0" w:line="360" w:lineRule="auto"/>
        <w:ind w:left="567" w:right="0" w:hanging="283"/>
        <w:jc w:val="both"/>
      </w:pPr>
      <w:r>
        <w:rPr>
          <w:rFonts w:ascii="Times New Roman" w:hAnsi="Times New Roman" w:eastAsia="Times New Roman"/>
          <w:sz w:val="26"/>
        </w:rPr>
        <w:t>- 2.5. Quy trình NSGA-II và quy tắc chọn nghiệm điều phối.</w:t>
      </w:r>
    </w:p>
    <w:p>
      <w:pPr>
        <w:keepNext w:val="0"/>
        <w:widowControl/>
        <w:spacing w:before="0" w:after="0" w:line="360" w:lineRule="auto"/>
        <w:ind w:left="567" w:right="0" w:hanging="283"/>
        <w:jc w:val="both"/>
      </w:pPr>
      <w:r>
        <w:rPr>
          <w:rFonts w:ascii="Times New Roman" w:hAnsi="Times New Roman" w:eastAsia="Times New Roman"/>
          <w:sz w:val="26"/>
        </w:rPr>
        <w:t>- 2.6. Thiết kế môi trường mô phỏng và phương pháp đối chứng.</w:t>
      </w:r>
    </w:p>
    <w:p>
      <w:pPr>
        <w:pStyle w:val="Heading2"/>
        <w:keepNext/>
        <w:widowControl/>
        <w:spacing w:before="120" w:after="40" w:line="360" w:lineRule="auto"/>
        <w:ind w:left="0" w:right="0"/>
        <w:jc w:val="left"/>
      </w:pPr>
      <w:r>
        <w:rPr>
          <w:rFonts w:ascii="Times New Roman" w:hAnsi="Times New Roman" w:eastAsia="Times New Roman"/>
          <w:b/>
          <w:i w:val="0"/>
          <w:sz w:val="26"/>
        </w:rPr>
        <w:t>Chương 3. Thực nghiệm, kết quả và thảo luận</w:t>
      </w:r>
    </w:p>
    <w:p>
      <w:pPr>
        <w:keepNext w:val="0"/>
        <w:widowControl/>
        <w:spacing w:before="0" w:after="0" w:line="360" w:lineRule="auto"/>
        <w:ind w:left="567" w:right="0" w:hanging="283"/>
        <w:jc w:val="both"/>
      </w:pPr>
      <w:r>
        <w:rPr>
          <w:rFonts w:ascii="Times New Roman" w:hAnsi="Times New Roman" w:eastAsia="Times New Roman"/>
          <w:sz w:val="26"/>
        </w:rPr>
        <w:t>- 3.1. Bộ dữ liệu, tiền xử lý và thiết lập kịch bản.</w:t>
      </w:r>
    </w:p>
    <w:p>
      <w:pPr>
        <w:keepNext w:val="0"/>
        <w:widowControl/>
        <w:spacing w:before="0" w:after="0" w:line="360" w:lineRule="auto"/>
        <w:ind w:left="567" w:right="0" w:hanging="283"/>
        <w:jc w:val="both"/>
      </w:pPr>
      <w:r>
        <w:rPr>
          <w:rFonts w:ascii="Times New Roman" w:hAnsi="Times New Roman" w:eastAsia="Times New Roman"/>
          <w:sz w:val="26"/>
        </w:rPr>
        <w:t>- 3.2. Cấu hình thuật toán và quy trình lặp thực nghiệm.</w:t>
      </w:r>
    </w:p>
    <w:p>
      <w:pPr>
        <w:keepNext w:val="0"/>
        <w:widowControl/>
        <w:spacing w:before="0" w:after="0" w:line="360" w:lineRule="auto"/>
        <w:ind w:left="567" w:right="0" w:hanging="283"/>
        <w:jc w:val="both"/>
      </w:pPr>
      <w:r>
        <w:rPr>
          <w:rFonts w:ascii="Times New Roman" w:hAnsi="Times New Roman" w:eastAsia="Times New Roman"/>
          <w:sz w:val="26"/>
        </w:rPr>
        <w:t>- 3.3. Kết quả về hiệu quả vận hành và chất lượng dịch vụ.</w:t>
      </w:r>
    </w:p>
    <w:p>
      <w:pPr>
        <w:keepNext w:val="0"/>
        <w:widowControl/>
        <w:spacing w:before="0" w:after="0" w:line="360" w:lineRule="auto"/>
        <w:ind w:left="567" w:right="0" w:hanging="283"/>
        <w:jc w:val="both"/>
      </w:pPr>
      <w:r>
        <w:rPr>
          <w:rFonts w:ascii="Times New Roman" w:hAnsi="Times New Roman" w:eastAsia="Times New Roman"/>
          <w:sz w:val="26"/>
        </w:rPr>
        <w:t>- 3.4. Kết quả về công bằng và tập nghiệm Pareto.</w:t>
      </w:r>
    </w:p>
    <w:p>
      <w:pPr>
        <w:keepNext w:val="0"/>
        <w:widowControl/>
        <w:spacing w:before="0" w:after="0" w:line="360" w:lineRule="auto"/>
        <w:ind w:left="567" w:right="0" w:hanging="283"/>
        <w:jc w:val="both"/>
      </w:pPr>
      <w:r>
        <w:rPr>
          <w:rFonts w:ascii="Times New Roman" w:hAnsi="Times New Roman" w:eastAsia="Times New Roman"/>
          <w:sz w:val="26"/>
        </w:rPr>
        <w:t>- 3.5. So sánh với Greedy, phân tích độ nhạy và kiểm định giả thuyết.</w:t>
      </w:r>
    </w:p>
    <w:p>
      <w:pPr>
        <w:keepNext w:val="0"/>
        <w:widowControl/>
        <w:spacing w:before="0" w:after="0" w:line="360" w:lineRule="auto"/>
        <w:ind w:left="567" w:right="0" w:hanging="283"/>
        <w:jc w:val="both"/>
      </w:pPr>
      <w:r>
        <w:rPr>
          <w:rFonts w:ascii="Times New Roman" w:hAnsi="Times New Roman" w:eastAsia="Times New Roman"/>
          <w:sz w:val="26"/>
        </w:rPr>
        <w:t>- 3.6. Hạn chế, kết luận và hướng phát triển.</w:t>
      </w:r>
    </w:p>
    <w:p>
      <w:pPr>
        <w:pStyle w:val="Heading1"/>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pPr>
        <w:keepNext w:val="0"/>
        <w:widowControl/>
        <w:spacing w:before="0" w:after="0" w:line="360" w:lineRule="auto"/>
        <w:ind w:left="0" w:right="0" w:firstLine="567"/>
        <w:jc w:val="both"/>
      </w:pPr>
      <w:r>
        <w:rPr>
          <w:rFonts w:ascii="Times New Roman" w:hAnsi="Times New Roman" w:eastAsia="Times New Roman"/>
          <w:b w:val="0"/>
          <w:i/>
          <w:sz w:val="26"/>
        </w:rPr>
        <w:t>Các tệp nội dung được cung cấp chưa có thông tin thư mục đủ để lập trích dẫn IEEE chính xác. Không tạo nguồn thay thế khi chưa xác minh. Trước khi nộp, cần bổ sung tối thiểu các nhóm tài liệu sau và chèn số trích dẫn theo thứ tự xuất hiện trong nội dung:</w:t>
      </w:r>
    </w:p>
    <w:p>
      <w:pPr>
        <w:keepNext w:val="0"/>
        <w:widowControl/>
        <w:spacing w:before="0" w:after="0" w:line="360" w:lineRule="auto"/>
        <w:ind w:left="567" w:right="0" w:hanging="567"/>
        <w:jc w:val="both"/>
      </w:pPr>
      <w:r>
        <w:rPr>
          <w:rFonts w:ascii="Times New Roman" w:hAnsi="Times New Roman" w:eastAsia="Times New Roman"/>
          <w:sz w:val="26"/>
        </w:rPr>
        <w:t>[1] [Cần bổ sung bài báo gốc giới thiệu NSGA-II: tác giả, tên bài, tạp chí/hội nghị, năm, tập/số/trang và DOI nếu có.]</w:t>
      </w:r>
    </w:p>
    <w:p>
      <w:pPr>
        <w:keepNext w:val="0"/>
        <w:widowControl/>
        <w:spacing w:before="0" w:after="0" w:line="360" w:lineRule="auto"/>
        <w:ind w:left="567" w:right="0" w:hanging="567"/>
        <w:jc w:val="both"/>
      </w:pPr>
      <w:r>
        <w:rPr>
          <w:rFonts w:ascii="Times New Roman" w:hAnsi="Times New Roman" w:eastAsia="Times New Roman"/>
          <w:sz w:val="26"/>
        </w:rPr>
        <w:t>[2] [Cần bổ sung các nghiên cứu về batch-based ride-hailing assignment hoặc dynamic matching có cửa sổ thời gian.]</w:t>
      </w:r>
    </w:p>
    <w:p>
      <w:pPr>
        <w:keepNext w:val="0"/>
        <w:widowControl/>
        <w:spacing w:before="0" w:after="0" w:line="360" w:lineRule="auto"/>
        <w:ind w:left="567" w:right="0" w:hanging="567"/>
        <w:jc w:val="both"/>
      </w:pPr>
      <w:r>
        <w:rPr>
          <w:rFonts w:ascii="Times New Roman" w:hAnsi="Times New Roman" w:eastAsia="Times New Roman"/>
          <w:sz w:val="26"/>
        </w:rPr>
        <w:t>[3] [Cần bổ sung nguồn khoa học về fairness trong phân công tài xế và thước đo cơ hội nhận cuốc hoặc allocation opportunity.]</w:t>
      </w:r>
    </w:p>
    <w:p>
      <w:pPr>
        <w:keepNext w:val="0"/>
        <w:widowControl/>
        <w:spacing w:before="0" w:after="0" w:line="360" w:lineRule="auto"/>
        <w:ind w:left="567" w:right="0" w:hanging="567"/>
        <w:jc w:val="both"/>
      </w:pPr>
      <w:r>
        <w:rPr>
          <w:rFonts w:ascii="Times New Roman" w:hAnsi="Times New Roman" w:eastAsia="Times New Roman"/>
          <w:sz w:val="26"/>
        </w:rPr>
        <w:t>[4] [Cần bổ sung tài liệu mô tả phương pháp Greedy hoặc baseline được sử dụng trong thực nghiệm.]</w:t>
      </w:r>
    </w:p>
    <w:p>
      <w:pPr>
        <w:keepNext w:val="0"/>
        <w:widowControl/>
        <w:spacing w:before="0" w:after="0" w:line="360" w:lineRule="auto"/>
        <w:ind w:left="567" w:right="0" w:hanging="567"/>
        <w:jc w:val="both"/>
      </w:pPr>
      <w:r>
        <w:rPr>
          <w:rFonts w:ascii="Times New Roman" w:hAnsi="Times New Roman" w:eastAsia="Times New Roman"/>
          <w:sz w:val="26"/>
        </w:rPr>
        <w:t>[5] [Cần bổ sung trang tài liệu chính thức và phiên bản của bộ dữ liệu được chọn: NYC Taxi hoặc RideAustin.]</w:t>
      </w:r>
    </w:p>
    <w:sectPr w:rsidR="00FC693F" w:rsidRPr="0006063C" w:rsidSect="00034616">
      <w:headerReference w:type="default" r:id="rId11"/>
      <w:type w:val="continuous"/>
      <w:pgSz w:w="11906" w:h="16838"/>
      <w:pgMar w:top="1701" w:right="1134" w:bottom="1701" w:left="1984" w:header="68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6"/>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NSGA-II cho điều phối gọi xe đa mục tiêu</dc:title>
  <dc:subject>Đề cương đồ án chuyên ngành</dc:subject>
  <dc:creator>python-docx</dc:creator>
  <cp:keywords>NSGA-II, ride-hailing, batching, time windows, opportunity fairness, multi-objective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