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384240" w:rsidP="00B16EC7">
      <w:hyperlink r:id="rId8" w:history="1">
        <w:r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C51852" w:rsidP="00B16EC7">
      <w:hyperlink r:id="rId10" w:history="1">
        <w:r w:rsidRPr="00FF4F23">
          <w:rPr>
            <w:rStyle w:val="Lienhypertexte"/>
          </w:rPr>
          <w:t>http://localhost:5000/.well-known/openid-configuration</w:t>
        </w:r>
      </w:hyperlink>
    </w:p>
    <w:p w:rsidR="00C51852" w:rsidRDefault="00C51852" w:rsidP="00B16EC7">
      <w:r>
        <w:t>ou</w:t>
      </w:r>
    </w:p>
    <w:p w:rsidR="00C51852" w:rsidRDefault="00C51852" w:rsidP="00B16EC7">
      <w:hyperlink r:id="rId11" w:history="1">
        <w:r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1F35CD" w:rsidP="00755A38">
      <w:hyperlink r:id="rId15" w:history="1">
        <w:r w:rsidRPr="00FF4F23">
          <w:rPr>
            <w:rStyle w:val="Lienhypertexte"/>
          </w:rPr>
          <w:t>https://localhost:5003</w:t>
        </w:r>
      </w:hyperlink>
    </w:p>
    <w:p w:rsidR="001F35CD" w:rsidRDefault="001F35CD" w:rsidP="00755A38">
      <w:r>
        <w:t>et</w:t>
      </w:r>
    </w:p>
    <w:p w:rsidR="001F35CD" w:rsidRDefault="001F35CD" w:rsidP="00755A38">
      <w:hyperlink r:id="rId16" w:history="1">
        <w:r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 xml:space="preserve">Pour cela, nous allons simplement editer le fichier Config.cs </w:t>
      </w:r>
      <w:r>
        <w:t xml:space="preserve">dans l’application IdentityServer </w:t>
      </w:r>
      <w:r>
        <w:t>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8"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924090" w:rsidP="00755A38"/>
    <w:p w:rsidR="00924090" w:rsidRPr="00755A38" w:rsidRDefault="00924090" w:rsidP="00755A38">
      <w:bookmarkStart w:id="0" w:name="_GoBack"/>
      <w:bookmarkEnd w:id="0"/>
    </w:p>
    <w:sectPr w:rsidR="00924090" w:rsidRPr="00755A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164C19"/>
    <w:rsid w:val="001F35CD"/>
    <w:rsid w:val="00367747"/>
    <w:rsid w:val="00384240"/>
    <w:rsid w:val="00467F8F"/>
    <w:rsid w:val="004D229A"/>
    <w:rsid w:val="0064537D"/>
    <w:rsid w:val="0067411D"/>
    <w:rsid w:val="00745B60"/>
    <w:rsid w:val="00755A38"/>
    <w:rsid w:val="0077203C"/>
    <w:rsid w:val="0083334A"/>
    <w:rsid w:val="00924090"/>
    <w:rsid w:val="009B4BD4"/>
    <w:rsid w:val="00A232B2"/>
    <w:rsid w:val="00B16EC7"/>
    <w:rsid w:val="00B5298D"/>
    <w:rsid w:val="00B67156"/>
    <w:rsid w:val="00B84F6B"/>
    <w:rsid w:val="00BA1BBE"/>
    <w:rsid w:val="00C040B3"/>
    <w:rsid w:val="00C42006"/>
    <w:rsid w:val="00C51852"/>
    <w:rsid w:val="00E113F2"/>
    <w:rsid w:val="00E35912"/>
    <w:rsid w:val="00EC195B"/>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1;http://localhost:5000" TargetMode="External"/><Relationship Id="rId13" Type="http://schemas.openxmlformats.org/officeDocument/2006/relationships/image" Target="media/image5.png"/><Relationship Id="rId18" Type="http://schemas.openxmlformats.org/officeDocument/2006/relationships/hyperlink" Target="https://localhost:5003/api/secu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50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ocalhost:5001/.well-known/openid-configuration" TargetMode="External"/><Relationship Id="rId5" Type="http://schemas.openxmlformats.org/officeDocument/2006/relationships/webSettings" Target="webSettings.xml"/><Relationship Id="rId15" Type="http://schemas.openxmlformats.org/officeDocument/2006/relationships/hyperlink" Target="https://localhost:5003" TargetMode="External"/><Relationship Id="rId10" Type="http://schemas.openxmlformats.org/officeDocument/2006/relationships/hyperlink" Target="http://localhost:5000/.well-known/openid-configur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E686A-283A-40CB-9FCB-F3E6FB54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13</Pages>
  <Words>1722</Words>
  <Characters>9471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Donfack, Hinault</cp:lastModifiedBy>
  <cp:revision>13</cp:revision>
  <dcterms:created xsi:type="dcterms:W3CDTF">2018-07-25T18:49:00Z</dcterms:created>
  <dcterms:modified xsi:type="dcterms:W3CDTF">2018-07-27T16:58:00Z</dcterms:modified>
</cp:coreProperties>
</file>