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ECM-001</w:t>
        <w:br/>
        <w:t>Enterprise Change Management &amp; CAB Standard</w:t>
      </w:r>
    </w:p>
    <w:p>
      <w:pPr>
        <w:jc w:val="center"/>
      </w:pPr>
      <w:r>
        <w:rPr>
          <w:i/>
        </w:rPr>
        <w:t>Fictional organizational standard for agent testing and training</w:t>
      </w:r>
    </w:p>
    <w:tbl>
      <w:tblPr>
        <w:tblStyle w:val="TableGrid"/>
        <w:tblW w:type="auto" w:w="0"/>
        <w:jc w:val="center"/>
        <w:tblLook w:firstColumn="1" w:firstRow="1" w:lastColumn="0" w:lastRow="0" w:noHBand="0" w:noVBand="1" w:val="04A0"/>
      </w:tblPr>
      <w:tblGrid>
        <w:gridCol w:w="5112"/>
        <w:gridCol w:w="5112"/>
      </w:tblGrid>
      <w:tr>
        <w:tc>
          <w:tcPr>
            <w:tcW w:type="dxa" w:w="5112"/>
            <w:shd w:fill="EAF2F8"/>
          </w:tcPr>
          <w:p>
            <w:r>
              <w:rPr>
                <w:b/>
              </w:rPr>
              <w:t>Document ID</w:t>
            </w:r>
          </w:p>
        </w:tc>
        <w:tc>
          <w:tcPr>
            <w:tcW w:type="dxa" w:w="5112"/>
          </w:tcPr>
          <w:p>
            <w:r>
              <w:t>ECM-001</w:t>
            </w:r>
          </w:p>
        </w:tc>
      </w:tr>
      <w:tr>
        <w:tc>
          <w:tcPr>
            <w:tcW w:type="dxa" w:w="5112"/>
            <w:shd w:fill="EAF2F8"/>
          </w:tcPr>
          <w:p>
            <w:r>
              <w:rPr>
                <w:b/>
              </w:rPr>
              <w:t>Version</w:t>
            </w:r>
          </w:p>
        </w:tc>
        <w:tc>
          <w:tcPr>
            <w:tcW w:type="dxa" w:w="5112"/>
          </w:tcPr>
          <w:p>
            <w:r>
              <w:t>1.0</w:t>
            </w:r>
          </w:p>
        </w:tc>
      </w:tr>
      <w:tr>
        <w:tc>
          <w:tcPr>
            <w:tcW w:type="dxa" w:w="5112"/>
            <w:shd w:fill="EAF2F8"/>
          </w:tcPr>
          <w:p>
            <w:r>
              <w:rPr>
                <w:b/>
              </w:rPr>
              <w:t>Owner</w:t>
            </w:r>
          </w:p>
        </w:tc>
        <w:tc>
          <w:tcPr>
            <w:tcW w:type="dxa" w:w="5112"/>
          </w:tcPr>
          <w:p>
            <w:r>
              <w:t>Enterprise Technology Governance</w:t>
            </w:r>
          </w:p>
        </w:tc>
      </w:tr>
      <w:tr>
        <w:tc>
          <w:tcPr>
            <w:tcW w:type="dxa" w:w="5112"/>
            <w:shd w:fill="EAF2F8"/>
          </w:tcPr>
          <w:p>
            <w:r>
              <w:rPr>
                <w:b/>
              </w:rPr>
              <w:t>Applies To</w:t>
            </w:r>
          </w:p>
        </w:tc>
        <w:tc>
          <w:tcPr>
            <w:tcW w:type="dxa" w:w="5112"/>
          </w:tcPr>
          <w:p>
            <w:r>
              <w:t>Normal and significant production technology changes</w:t>
            </w:r>
          </w:p>
        </w:tc>
      </w:tr>
      <w:tr>
        <w:tc>
          <w:tcPr>
            <w:tcW w:type="dxa" w:w="5112"/>
            <w:shd w:fill="EAF2F8"/>
          </w:tcPr>
          <w:p>
            <w:r>
              <w:rPr>
                <w:b/>
              </w:rPr>
              <w:t>Review Authority</w:t>
            </w:r>
          </w:p>
        </w:tc>
        <w:tc>
          <w:tcPr>
            <w:tcW w:type="dxa" w:w="5112"/>
          </w:tcPr>
          <w:p>
            <w:r>
              <w:t>Change Advisory Board (CAB)</w:t>
            </w:r>
          </w:p>
        </w:tc>
      </w:tr>
      <w:tr>
        <w:tc>
          <w:tcPr>
            <w:tcW w:type="dxa" w:w="5112"/>
            <w:shd w:fill="EAF2F8"/>
          </w:tcPr>
          <w:p>
            <w:r>
              <w:rPr>
                <w:b/>
              </w:rPr>
              <w:t>Status</w:t>
            </w:r>
          </w:p>
        </w:tc>
        <w:tc>
          <w:tcPr>
            <w:tcW w:type="dxa" w:w="5112"/>
          </w:tcPr>
          <w:p>
            <w:r>
              <w:t>Approved organizational standard (fictional)</w:t>
            </w:r>
          </w:p>
        </w:tc>
      </w:tr>
    </w:tbl>
    <w:p/>
    <w:p>
      <w:pPr>
        <w:pStyle w:val="Heading1"/>
      </w:pPr>
      <w:r>
        <w:t>1. Purpose</w:t>
      </w:r>
    </w:p>
    <w:p>
      <w:r>
        <w:t>This standard establishes minimum evidence, accountability, validation, recovery, operational readiness, and governance expectations for production technology changes reviewed through the Change Advisory Board. The CAB uses this standard to determine whether sufficient information exists for accountable human decision-making. This standard does not delegate approval authority to automated systems or AI tools.</w:t>
      </w:r>
    </w:p>
    <w:p>
      <w:pPr>
        <w:pStyle w:val="Heading1"/>
      </w:pPr>
      <w:r>
        <w:t>2. Core Governance Principles</w:t>
      </w:r>
    </w:p>
    <w:p>
      <w:pPr>
        <w:pStyle w:val="ListBullet"/>
      </w:pPr>
      <w:r>
        <w:t>Human accountability: Final approval, rejection, deferral, exception acceptance, and business-risk acceptance remain with authorized human decision-makers.</w:t>
      </w:r>
    </w:p>
    <w:p>
      <w:pPr>
        <w:pStyle w:val="ListBullet"/>
      </w:pPr>
      <w:r>
        <w:t>Evidence before decision: Material claims about impact, dependencies, validation, recovery, and readiness must be supported by available evidence.</w:t>
      </w:r>
    </w:p>
    <w:p>
      <w:pPr>
        <w:pStyle w:val="ListBullet"/>
      </w:pPr>
      <w:r>
        <w:t>No silent assumptions: Missing or conflicting evidence must be surfaced rather than resolved by assumption.</w:t>
      </w:r>
    </w:p>
    <w:p>
      <w:pPr>
        <w:pStyle w:val="ListBullet"/>
      </w:pPr>
      <w:r>
        <w:t>Proportionate control: Review depth should reflect business impact, technical complexity, dependency exposure, recoverability, and prior operational history.</w:t>
      </w:r>
    </w:p>
    <w:p>
      <w:pPr>
        <w:pStyle w:val="ListBullet"/>
      </w:pPr>
      <w:r>
        <w:t>Traceability: Material readiness conclusions should be traceable to change evidence or an applicable organizational requirement.</w:t>
      </w:r>
    </w:p>
    <w:p>
      <w:pPr>
        <w:pStyle w:val="Heading1"/>
      </w:pPr>
      <w:r>
        <w:t>3. Change Scope and Business Impact</w:t>
      </w:r>
    </w:p>
    <w:p>
      <w:pPr>
        <w:pStyle w:val="Heading2"/>
      </w:pPr>
      <w:r>
        <w:t>3.1 Scope</w:t>
      </w:r>
    </w:p>
    <w:p>
      <w:r>
        <w:t>A production change record must identify the technology or service being changed, the production environment affected, the implementation owner, the planned change window, and the intended outcome.</w:t>
      </w:r>
    </w:p>
    <w:p>
      <w:pPr>
        <w:pStyle w:val="Heading2"/>
      </w:pPr>
      <w:r>
        <w:t>3.2 Business Impact</w:t>
      </w:r>
    </w:p>
    <w:p>
      <w:r>
        <w:t>For customer-facing or business-critical services, the change record must state the anticipated service impact, including expected or maximum interruption where known. Where recovery or rollback could exceed the stated interruption, that exposure must be explicitly surfaced for CAB consideration.</w:t>
      </w:r>
    </w:p>
    <w:p>
      <w:pPr>
        <w:pStyle w:val="Heading2"/>
      </w:pPr>
      <w:r>
        <w:t>3.3 Business Validation Ownership</w:t>
      </w:r>
    </w:p>
    <w:p>
      <w:r>
        <w:t>Customer-facing production changes require a named primary business validator before implementation. A backup validator must be identified when business validation is required during a constrained maintenance window.</w:t>
      </w:r>
    </w:p>
    <w:p>
      <w:pPr>
        <w:pStyle w:val="Heading1"/>
      </w:pPr>
      <w:r>
        <w:t>4. Architecture and Dependency Management</w:t>
      </w:r>
    </w:p>
    <w:p>
      <w:pPr>
        <w:pStyle w:val="Heading2"/>
      </w:pPr>
      <w:r>
        <w:t>4.1 Dependency Identification</w:t>
      </w:r>
    </w:p>
    <w:p>
      <w:r>
        <w:t>Material upstream, downstream, integration, and shared-service dependencies known to the organization must be identified in the change evidence. A statement that no material dependencies exist must be reconcilable with current architecture or service documentation.</w:t>
      </w:r>
    </w:p>
    <w:p>
      <w:pPr>
        <w:pStyle w:val="Heading2"/>
      </w:pPr>
      <w:r>
        <w:t>4.2 Dependency Validation</w:t>
      </w:r>
    </w:p>
    <w:p>
      <w:r>
        <w:t>Material dependencies affected by the change must have an appropriate post-change validation method. The validation depth should reflect the documented criticality and role of the dependency.</w:t>
      </w:r>
    </w:p>
    <w:p>
      <w:pPr>
        <w:pStyle w:val="Heading2"/>
      </w:pPr>
      <w:r>
        <w:t>4.3 Architecture Alignment</w:t>
      </w:r>
    </w:p>
    <w:p>
      <w:r>
        <w:t>Where applicable architecture principles, platform standards, lifecycle requirements, or approved target-state designs exist, significant changes should demonstrate alignment or document the need for an exception. Absence of an applicable architecture standard is not evidence of non-compliance.</w:t>
      </w:r>
    </w:p>
    <w:p>
      <w:pPr>
        <w:pStyle w:val="Heading1"/>
      </w:pPr>
      <w:r>
        <w:t>5. Implementation Readiness</w:t>
      </w:r>
    </w:p>
    <w:p>
      <w:pPr>
        <w:pStyle w:val="Heading2"/>
      </w:pPr>
      <w:r>
        <w:t>5.1 Implementation Procedure</w:t>
      </w:r>
    </w:p>
    <w:p>
      <w:r>
        <w:t>Implementation steps must be sufficiently clear for the assigned technical team to execute the change and identify completion of material stages.</w:t>
      </w:r>
    </w:p>
    <w:p>
      <w:pPr>
        <w:pStyle w:val="Heading2"/>
      </w:pPr>
      <w:r>
        <w:t>5.2 Ownership</w:t>
      </w:r>
    </w:p>
    <w:p>
      <w:r>
        <w:t>Implementation, technical validation, business validation, and recovery responsibilities must be assigned. Generic team ownership may be acceptable for technical execution where operational procedures establish responsibility; human business validation must identify a named accountable validator.</w:t>
      </w:r>
    </w:p>
    <w:p>
      <w:pPr>
        <w:pStyle w:val="Heading2"/>
      </w:pPr>
      <w:r>
        <w:t>5.3 Decision Checkpoints</w:t>
      </w:r>
    </w:p>
    <w:p>
      <w:r>
        <w:t>Changes with material rollback duration, irreversible steps, or time-sensitive recovery exposure should identify a decision checkpoint or objective criteria for initiating rollback before recovery options become operationally unacceptable.</w:t>
      </w:r>
    </w:p>
    <w:p>
      <w:pPr>
        <w:pStyle w:val="Heading1"/>
      </w:pPr>
      <w:r>
        <w:t>6. Rollback, Backup, and Recovery</w:t>
      </w:r>
    </w:p>
    <w:p>
      <w:pPr>
        <w:pStyle w:val="Heading2"/>
      </w:pPr>
      <w:r>
        <w:t>6.1 Rollback Plan</w:t>
      </w:r>
    </w:p>
    <w:p>
      <w:r>
        <w:t>Production changes that can materially affect service availability must document a rollback or recovery approach, including trigger conditions, responsible owner, major recovery steps, and estimated duration when reasonably determinable.</w:t>
      </w:r>
    </w:p>
    <w:p>
      <w:pPr>
        <w:pStyle w:val="Heading2"/>
      </w:pPr>
      <w:r>
        <w:t>6.2 Recovery Exposure</w:t>
      </w:r>
    </w:p>
    <w:p>
      <w:r>
        <w:t>The CAB must be able to understand the relationship between the planned maintenance window, anticipated business interruption, rollback trigger, and estimated recovery duration. If recovery could materially exceed the stated business-impact window, the difference must be explicitly assessed and may require accountable business-risk judgment.</w:t>
      </w:r>
    </w:p>
    <w:p>
      <w:pPr>
        <w:pStyle w:val="Heading2"/>
      </w:pPr>
      <w:r>
        <w:t>6.3 Backup and Recoverability</w:t>
      </w:r>
    </w:p>
    <w:p>
      <w:r>
        <w:t>Successful backup completion alone does not demonstrate recoverability. For changes where recovery depends materially on restoration from backup, available evidence should establish reasonable confidence in restore capability through applicable testing, prior verified restore evidence, or another documented recovery assurance method.</w:t>
      </w:r>
    </w:p>
    <w:p>
      <w:pPr>
        <w:pStyle w:val="Heading2"/>
      </w:pPr>
      <w:r>
        <w:t>6.4 Point of No Return</w:t>
      </w:r>
    </w:p>
    <w:p>
      <w:r>
        <w:t>Where a change contains an irreversible step or a recovery decision becomes materially more difficult after a particular stage, the implementation plan must identify the relevant point of no return or equivalent decision criterion.</w:t>
      </w:r>
    </w:p>
    <w:p>
      <w:pPr>
        <w:pStyle w:val="Heading1"/>
      </w:pPr>
      <w:r>
        <w:t>7. Validation and Success Criteria</w:t>
      </w:r>
    </w:p>
    <w:p>
      <w:pPr>
        <w:pStyle w:val="Heading2"/>
      </w:pPr>
      <w:r>
        <w:t>7.1 Layered Validation</w:t>
      </w:r>
    </w:p>
    <w:p>
      <w:r>
        <w:t>Validation must cover the material layers affected by the change. Depending on scope, this may include infrastructure/platform health, application connectivity, integration behavior, downstream dependencies, and an end-to-end business outcome.</w:t>
      </w:r>
    </w:p>
    <w:p>
      <w:pPr>
        <w:pStyle w:val="Heading2"/>
      </w:pPr>
      <w:r>
        <w:t>7.2 Success Criteria</w:t>
      </w:r>
    </w:p>
    <w:p>
      <w:r>
        <w:t>Success criteria must be sufficiently specific to determine whether the changed service is operating as intended. Technical component availability alone is not sufficient when the service depends on application or integration behavior.</w:t>
      </w:r>
    </w:p>
    <w:p>
      <w:pPr>
        <w:pStyle w:val="Heading2"/>
      </w:pPr>
      <w:r>
        <w:t>7.3 Previous Incidents and Corrective Actions</w:t>
      </w:r>
    </w:p>
    <w:p>
      <w:r>
        <w:t>When a relevant prior production incident identified a failure mode or corrective action applicable to the current change, the change evidence must demonstrate that the risk has been addressed, the corrective control has been incorporated, or an accountable exception has been documented.</w:t>
      </w:r>
    </w:p>
    <w:p>
      <w:pPr>
        <w:pStyle w:val="Heading1"/>
      </w:pPr>
      <w:r>
        <w:t>8. Operational Support Readiness</w:t>
      </w:r>
    </w:p>
    <w:p>
      <w:r>
        <w:t>For production changes with material service impact, available evidence should address operational support appropriate to the change, including relevant monitoring, alerting, escalation paths, support ownership, incident-response readiness, and post-change observation.</w:t>
      </w:r>
    </w:p>
    <w:p>
      <w:pPr>
        <w:pStyle w:val="ListBullet"/>
      </w:pPr>
      <w:r>
        <w:t>Monitoring must be capable of detecting material failure modes reasonably associated with the change.</w:t>
      </w:r>
    </w:p>
    <w:p>
      <w:pPr>
        <w:pStyle w:val="ListBullet"/>
      </w:pPr>
      <w:r>
        <w:t>Post-change monitoring should cover an appropriate period for the service and change type.</w:t>
      </w:r>
    </w:p>
    <w:p>
      <w:pPr>
        <w:pStyle w:val="ListBullet"/>
      </w:pPr>
      <w:r>
        <w:t>Operational ownership and escalation routes must be identifiable.</w:t>
      </w:r>
    </w:p>
    <w:p>
      <w:pPr>
        <w:pStyle w:val="ListBullet"/>
      </w:pPr>
      <w:r>
        <w:t>Where a new operational procedure or support responsibility is introduced, required runbook or knowledge-transfer evidence should be available.</w:t>
      </w:r>
    </w:p>
    <w:p>
      <w:pPr>
        <w:pStyle w:val="Heading1"/>
      </w:pPr>
      <w:r>
        <w:t>9. Security, Compliance, and Governance</w:t>
      </w:r>
    </w:p>
    <w:p>
      <w:pPr>
        <w:pStyle w:val="Heading2"/>
      </w:pPr>
      <w:r>
        <w:t>9.1 Security-Relevant Changes</w:t>
      </w:r>
    </w:p>
    <w:p>
      <w:r>
        <w:t>Changes that alter security controls, authentication, authorization, network exposure, privileged access, encryption, sensitive-data handling, or other security-relevant behavior require evidence of the applicable security review or control validation.</w:t>
      </w:r>
    </w:p>
    <w:p>
      <w:pPr>
        <w:pStyle w:val="Heading2"/>
      </w:pPr>
      <w:r>
        <w:t>9.2 Compliance-Relevant Changes</w:t>
      </w:r>
    </w:p>
    <w:p>
      <w:r>
        <w:t>Where a change affects a regulated process, controlled data, or an explicitly documented compliance requirement, applicable compliance evidence must be available. The CAB must not infer a compliance requirement when none is documented or applicable.</w:t>
      </w:r>
    </w:p>
    <w:p>
      <w:pPr>
        <w:pStyle w:val="Heading2"/>
      </w:pPr>
      <w:r>
        <w:t>9.3 Exceptions</w:t>
      </w:r>
    </w:p>
    <w:p>
      <w:r>
        <w:t>An exception to an applicable organizational standard must identify the requirement being excepted, rationale, risk, compensating controls where applicable, accountable owner, and authorized human acceptance.</w:t>
      </w:r>
    </w:p>
    <w:p>
      <w:pPr>
        <w:pStyle w:val="Heading1"/>
      </w:pPr>
      <w:r>
        <w:t>10. Evidence and Documentation Quality</w:t>
      </w:r>
    </w:p>
    <w:p>
      <w:r>
        <w:t>Change evidence should be current enough to support the decision, internally consistent, attributable to an appropriate source, and sufficiently complete for the material risks under review. Conflicting sources must be reconciled by accountable owners or explicitly presented to CAB as unresolved evidence.</w:t>
      </w:r>
    </w:p>
    <w:p>
      <w:r>
        <w:t>A missing document is not automatically a control failure; the relevant question is whether the required evidence exists and is sufficient for the applicable requirement.</w:t>
      </w:r>
    </w:p>
    <w:p>
      <w:pPr>
        <w:pStyle w:val="Heading1"/>
      </w:pPr>
      <w:r>
        <w:t>11. CAB Decision Readiness</w:t>
      </w:r>
    </w:p>
    <w:p>
      <w:r>
        <w:t>A change is decision-ready only when authorized human approvers have sufficient evidence to understand the material business impact, implementation approach, dependencies, validation, recovery exposure, operational readiness, and unresolved risks.</w:t>
      </w:r>
    </w:p>
    <w:p>
      <w:pPr>
        <w:pStyle w:val="ListBullet"/>
      </w:pPr>
      <w:r>
        <w:t>Implementation conditions may remain after a decision when they are clearly defined controls and do not require new material evidence to understand the risk.</w:t>
      </w:r>
    </w:p>
    <w:p>
      <w:pPr>
        <w:pStyle w:val="ListBullet"/>
      </w:pPr>
      <w:r>
        <w:t>If missing or conflicting evidence could materially change the decision, the change is not yet decision-ready.</w:t>
      </w:r>
    </w:p>
    <w:p>
      <w:pPr>
        <w:pStyle w:val="ListBullet"/>
      </w:pPr>
      <w:r>
        <w:t>Issues requiring authority or expertise outside normal CAB scope must be escalated to the appropriate accountable function.</w:t>
      </w:r>
    </w:p>
    <w:p>
      <w:pPr>
        <w:pStyle w:val="ListBullet"/>
      </w:pPr>
      <w:r>
        <w:t>Decision readiness is not the same as approval. CAB retains authority to approve, reject, defer, or require additional action.</w:t>
      </w:r>
    </w:p>
    <w:p>
      <w:pPr>
        <w:pStyle w:val="Heading1"/>
      </w:pPr>
      <w:r>
        <w:t>12. Applicability Notes</w:t>
      </w:r>
    </w:p>
    <w:p>
      <w:pPr>
        <w:pStyle w:val="ListBullet"/>
      </w:pPr>
      <w:r>
        <w:t>Not every requirement applies to every change. Applicability depends on scope, impact, architecture, security relevance, dependency exposure, recovery approach, and operational context.</w:t>
      </w:r>
    </w:p>
    <w:p>
      <w:pPr>
        <w:pStyle w:val="ListBullet"/>
      </w:pPr>
      <w:r>
        <w:t>The absence of evidence for a non-applicable requirement must not be reported as a deficiency.</w:t>
      </w:r>
    </w:p>
    <w:p>
      <w:pPr>
        <w:pStyle w:val="ListBullet"/>
      </w:pPr>
      <w:r>
        <w:t>Where applicability cannot be determined from available evidence, the issue should be raised as a question rather than assumed.</w:t>
      </w:r>
    </w:p>
    <w:p>
      <w:pPr>
        <w:pStyle w:val="ListBullet"/>
      </w:pPr>
      <w:r>
        <w:t>This standard defines organizational expectations; it does not replace specialized security, architecture, continuity, privacy, or regulatory standards when those standards apply.</w:t>
      </w:r>
    </w:p>
    <w:p>
      <w:pPr>
        <w:pStyle w:val="Heading1"/>
      </w:pPr>
      <w:r>
        <w:t>Appendix A — Minimum CAB Evidence Guide</w:t>
      </w:r>
    </w:p>
    <w:tbl>
      <w:tblPr>
        <w:tblStyle w:val="TableGrid"/>
        <w:tblW w:type="auto" w:w="0"/>
        <w:tblLook w:firstColumn="1" w:firstRow="1" w:lastColumn="0" w:lastRow="0" w:noHBand="0" w:noVBand="1" w:val="04A0"/>
      </w:tblPr>
      <w:tblGrid>
        <w:gridCol w:w="5112"/>
        <w:gridCol w:w="5112"/>
      </w:tblGrid>
      <w:tr>
        <w:tc>
          <w:tcPr>
            <w:tcW w:type="dxa" w:w="5112"/>
            <w:shd w:fill="D9EAF7"/>
          </w:tcPr>
          <w:p>
            <w:r>
              <w:t>Evidence Area</w:t>
            </w:r>
          </w:p>
        </w:tc>
        <w:tc>
          <w:tcPr>
            <w:tcW w:type="dxa" w:w="5112"/>
            <w:shd w:fill="D9EAF7"/>
          </w:tcPr>
          <w:p>
            <w:r>
              <w:t>Minimum Expectation</w:t>
            </w:r>
          </w:p>
        </w:tc>
      </w:tr>
      <w:tr>
        <w:tc>
          <w:tcPr>
            <w:tcW w:type="dxa" w:w="5112"/>
          </w:tcPr>
          <w:p>
            <w:r>
              <w:t>Scope &amp; impact</w:t>
            </w:r>
          </w:p>
        </w:tc>
        <w:tc>
          <w:tcPr>
            <w:tcW w:type="dxa" w:w="5112"/>
          </w:tcPr>
          <w:p>
            <w:r>
              <w:t>Affected service, planned window, owner, anticipated business impact</w:t>
            </w:r>
          </w:p>
        </w:tc>
      </w:tr>
      <w:tr>
        <w:tc>
          <w:tcPr>
            <w:tcW w:type="dxa" w:w="5112"/>
          </w:tcPr>
          <w:p>
            <w:r>
              <w:t>Dependencies</w:t>
            </w:r>
          </w:p>
        </w:tc>
        <w:tc>
          <w:tcPr>
            <w:tcW w:type="dxa" w:w="5112"/>
          </w:tcPr>
          <w:p>
            <w:r>
              <w:t>Material dependencies identified and relevant validation planned</w:t>
            </w:r>
          </w:p>
        </w:tc>
      </w:tr>
      <w:tr>
        <w:tc>
          <w:tcPr>
            <w:tcW w:type="dxa" w:w="5112"/>
          </w:tcPr>
          <w:p>
            <w:r>
              <w:t>Implementation</w:t>
            </w:r>
          </w:p>
        </w:tc>
        <w:tc>
          <w:tcPr>
            <w:tcW w:type="dxa" w:w="5112"/>
          </w:tcPr>
          <w:p>
            <w:r>
              <w:t>Executable steps and responsible technical ownership</w:t>
            </w:r>
          </w:p>
        </w:tc>
      </w:tr>
      <w:tr>
        <w:tc>
          <w:tcPr>
            <w:tcW w:type="dxa" w:w="5112"/>
          </w:tcPr>
          <w:p>
            <w:r>
              <w:t>Rollback/recovery</w:t>
            </w:r>
          </w:p>
        </w:tc>
        <w:tc>
          <w:tcPr>
            <w:tcW w:type="dxa" w:w="5112"/>
          </w:tcPr>
          <w:p>
            <w:r>
              <w:t>Trigger, approach, ownership, duration/exposure where material</w:t>
            </w:r>
          </w:p>
        </w:tc>
      </w:tr>
      <w:tr>
        <w:tc>
          <w:tcPr>
            <w:tcW w:type="dxa" w:w="5112"/>
          </w:tcPr>
          <w:p>
            <w:r>
              <w:t>Validation</w:t>
            </w:r>
          </w:p>
        </w:tc>
        <w:tc>
          <w:tcPr>
            <w:tcW w:type="dxa" w:w="5112"/>
          </w:tcPr>
          <w:p>
            <w:r>
              <w:t>Technical plus applicable application/integration/business validation</w:t>
            </w:r>
          </w:p>
        </w:tc>
      </w:tr>
      <w:tr>
        <w:tc>
          <w:tcPr>
            <w:tcW w:type="dxa" w:w="5112"/>
          </w:tcPr>
          <w:p>
            <w:r>
              <w:t>Business ownership</w:t>
            </w:r>
          </w:p>
        </w:tc>
        <w:tc>
          <w:tcPr>
            <w:tcW w:type="dxa" w:w="5112"/>
          </w:tcPr>
          <w:p>
            <w:r>
              <w:t>Named business validator for customer-facing production changes</w:t>
            </w:r>
          </w:p>
        </w:tc>
      </w:tr>
      <w:tr>
        <w:tc>
          <w:tcPr>
            <w:tcW w:type="dxa" w:w="5112"/>
          </w:tcPr>
          <w:p>
            <w:r>
              <w:t>Operational readiness</w:t>
            </w:r>
          </w:p>
        </w:tc>
        <w:tc>
          <w:tcPr>
            <w:tcW w:type="dxa" w:w="5112"/>
          </w:tcPr>
          <w:p>
            <w:r>
              <w:t>Relevant monitoring, support ownership, escalation and post-change observation</w:t>
            </w:r>
          </w:p>
        </w:tc>
      </w:tr>
      <w:tr>
        <w:tc>
          <w:tcPr>
            <w:tcW w:type="dxa" w:w="5112"/>
          </w:tcPr>
          <w:p>
            <w:r>
              <w:t>Prior incidents</w:t>
            </w:r>
          </w:p>
        </w:tc>
        <w:tc>
          <w:tcPr>
            <w:tcW w:type="dxa" w:w="5112"/>
          </w:tcPr>
          <w:p>
            <w:r>
              <w:t>Applicable corrective actions addressed or exception documented</w:t>
            </w:r>
          </w:p>
        </w:tc>
      </w:tr>
      <w:tr>
        <w:tc>
          <w:tcPr>
            <w:tcW w:type="dxa" w:w="5112"/>
          </w:tcPr>
          <w:p>
            <w:r>
              <w:t>Governance</w:t>
            </w:r>
          </w:p>
        </w:tc>
        <w:tc>
          <w:tcPr>
            <w:tcW w:type="dxa" w:w="5112"/>
          </w:tcPr>
          <w:p>
            <w:r>
              <w:t>Applicable security/compliance/architecture requirements evidenced when triggered</w:t>
            </w:r>
          </w:p>
        </w:tc>
      </w:tr>
    </w:tbl>
    <w:p/>
    <w:p>
      <w:r>
        <w:rPr>
          <w:b/>
        </w:rPr>
        <w:t xml:space="preserve">Training notice: </w:t>
      </w:r>
      <w:r>
        <w:t>ECM-001 is fictional and was created solely for demonstration, testing, and training of an AI-assisted enterprise change-readiness workflow.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