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00"/>
        <w:jc w:val="center"/>
      </w:pPr>
      <w:r>
        <w:rPr>
          <w:rFonts w:ascii="Times New Roman" w:hAnsi="Times New Roman" w:eastAsia="Times New Roman"/>
          <w:b/>
          <w:i w:val="0"/>
          <w:sz w:val="28"/>
        </w:rPr>
        <w:t>Data availability</w:t>
      </w:r>
    </w:p>
    <w:p>
      <w:pPr>
        <w:spacing w:line="480" w:lineRule="auto" w:after="160"/>
        <w:jc w:val="both"/>
      </w:pPr>
      <w:r>
        <w:rPr>
          <w:rFonts w:ascii="Times New Roman" w:hAnsi="Times New Roman" w:eastAsia="Times New Roman"/>
          <w:b w:val="0"/>
          <w:i w:val="0"/>
          <w:sz w:val="22"/>
        </w:rPr>
        <w:t>CICDDoS2019 and CICIoT2023 are available from the Canadian Institute for Cybersecurity, University of New Brunswick. The historical counts are those printed by the executed notebooks behind the first author’s master’s dissertation (Iqbal, 2026), available from the corresponding author on request. Derived tables and scripts for those calculations are deposited at https://doi.org/10.5281/zenodo.23435601. That interim record contains an earlier BoT-IoT run on a truncated file. Tables 9 and 10 in this manuscript replace it with a 350,000-row subsample of a complete Kaggle mirror that keeps all 477 benign rows. Table 11 is a four-file CICDDoS2019 subset. Raw dataset files are not redistributed. The original CIC score files, split indices, and model checkpoints are not in the deposit.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