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00"/>
        <w:jc w:val="center"/>
      </w:pPr>
      <w:r>
        <w:rPr>
          <w:rFonts w:ascii="Times New Roman" w:hAnsi="Times New Roman" w:eastAsia="Times New Roman"/>
          <w:b/>
          <w:i w:val="0"/>
          <w:sz w:val="28"/>
        </w:rPr>
        <w:t>Declaration of generative AI and AI-assisted technologies</w:t>
      </w:r>
    </w:p>
    <w:p>
      <w:pPr>
        <w:spacing w:line="480" w:lineRule="auto" w:after="160"/>
        <w:jc w:val="both"/>
      </w:pPr>
      <w:r>
        <w:rPr>
          <w:rFonts w:ascii="Times New Roman" w:hAnsi="Times New Roman" w:eastAsia="Times New Roman"/>
          <w:b w:val="0"/>
          <w:i w:val="0"/>
          <w:sz w:val="22"/>
        </w:rPr>
        <w:t>During the preparation of this work the authors used ChatGPT and Cursor for drafting and editing text, for restructuring sections, for assistance with plotting code, and for writing the BoT-IoT, CICIoT2023 pilot, and CICDDoS2019 subset scripts. The authors reviewed those scripts and executed them. Tables 9 and 10 come from the mirror subsample, Table 11 from the four-file subset, and Supplementary material S2 from the benign-versus-ICMP-flood pilot. Prevalence, crossover, and alert figures for the historical CIC results were computed from the confusion counts printed by the executed notebooks. The tools did not produce the original paired CICIoT2023 comparison or a hybrid refit on the reduced CICDDoS2019 features. The authors reviewed the manuscript and take full responsibility for the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