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00"/>
        <w:jc w:val="center"/>
      </w:pPr>
      <w:r>
        <w:rPr>
          <w:rFonts w:ascii="Times New Roman" w:hAnsi="Times New Roman" w:eastAsia="Times New Roman"/>
          <w:b/>
          <w:i w:val="0"/>
          <w:sz w:val="28"/>
        </w:rPr>
        <w:t>Cover letter</w:t>
      </w:r>
    </w:p>
    <w:p>
      <w:pPr>
        <w:spacing w:line="480" w:lineRule="auto" w:after="160"/>
      </w:pPr>
      <w:r>
        <w:rPr>
          <w:rFonts w:ascii="Times New Roman" w:hAnsi="Times New Roman" w:eastAsia="Times New Roman"/>
          <w:b w:val="0"/>
          <w:i w:val="0"/>
          <w:sz w:val="22"/>
        </w:rPr>
        <w:t>17 October 2026</w:t>
      </w:r>
    </w:p>
    <w:p>
      <w:pPr>
        <w:spacing w:line="480" w:lineRule="auto" w:after="160"/>
      </w:pPr>
      <w:r>
        <w:rPr>
          <w:rFonts w:ascii="Times New Roman" w:hAnsi="Times New Roman" w:eastAsia="Times New Roman"/>
          <w:b w:val="0"/>
          <w:i w:val="0"/>
          <w:sz w:val="22"/>
        </w:rPr>
        <w:t>The Editors</w:t>
      </w:r>
    </w:p>
    <w:p>
      <w:pPr>
        <w:spacing w:line="480" w:lineRule="auto" w:after="160"/>
      </w:pPr>
      <w:r>
        <w:rPr>
          <w:rFonts w:ascii="Times New Roman" w:hAnsi="Times New Roman" w:eastAsia="Times New Roman"/>
          <w:b w:val="0"/>
          <w:i w:val="0"/>
          <w:sz w:val="22"/>
        </w:rPr>
        <w:t>Journal of Information Security and Applications</w:t>
      </w:r>
    </w:p>
    <w:p>
      <w:pPr>
        <w:spacing w:line="480" w:lineRule="auto" w:after="160"/>
      </w:pPr>
      <w:r>
        <w:rPr>
          <w:rFonts w:ascii="Times New Roman" w:hAnsi="Times New Roman" w:eastAsia="Times New Roman"/>
          <w:b w:val="0"/>
          <w:i w:val="0"/>
          <w:sz w:val="22"/>
        </w:rPr>
        <w:t>Dear Editors,</w:t>
      </w:r>
    </w:p>
    <w:p>
      <w:pPr>
        <w:spacing w:line="480" w:lineRule="auto" w:after="160"/>
        <w:ind w:firstLine="720"/>
        <w:jc w:val="both"/>
      </w:pPr>
      <w:r>
        <w:rPr>
          <w:rFonts w:ascii="Times New Roman" w:hAnsi="Times New Roman" w:eastAsia="Times New Roman"/>
          <w:b w:val="0"/>
          <w:i w:val="0"/>
          <w:sz w:val="22"/>
        </w:rPr>
        <w:t>Please consider our article “High F1, Costly Alerts: Dataset- and Prevalence-Dependent Rankings of Deep and Tree-Based DDoS Detectors” for Journal of Information Security and Applications. The journal does not consider routine applications of existing machine-learning models to standard security datasets unless the work advances the security question itself. This manuscript takes that requirement as its scope. The models are a CNN–LSTM hybrid and standard tree ensembles. The security result is that their false-alarm order reverses between CICDDoS2019 and CICIoT2023 at the evaluated points, and that a prevalence-and-cost reading of the CICIoT2023 points changes which detector is cheaper. Later checks qualify that reading. On a four-file subset, removing an Inbound flag and the port fields raises the forest’s false alarms. On a BoT-IoT mirror subsample, a validation-tuned cut does not reduce the seed-42 tree’s misses. The analytical content applies established cost-sensitive decision theory to executed counts. It is an assessment of these detectors, not a new detection algorithm.</w:t>
      </w:r>
    </w:p>
    <w:p>
      <w:pPr>
        <w:spacing w:line="480" w:lineRule="auto" w:after="160"/>
        <w:ind w:firstLine="720"/>
        <w:jc w:val="both"/>
      </w:pPr>
      <w:r>
        <w:rPr>
          <w:rFonts w:ascii="Times New Roman" w:hAnsi="Times New Roman" w:eastAsia="Times New Roman"/>
          <w:b w:val="0"/>
          <w:i w:val="0"/>
          <w:sz w:val="22"/>
        </w:rPr>
        <w:t>On CICDDoS2019, counts recovered from the printed metrics give random forest no false alarms in 10,663 benign records and the hybrid 19 false alarms in 10,650 benign windows. Those binomial intervals do not overlap only if the windows are treated as independent, which overlapping windows violate. On CICIoT2023 the order reverses at one cut, and the two models were scored on different cases: one hybrid false alarm in 5,962 benign windows, against 431 random-forest false alarms in 7,064 benign records. Holding the CICIoT rates fixed, projected precision at 1% attack prevalence is 98.3% and 14.2%, and equal assumed costs switch the cheaper detector at 81.7% prevalence. The original experiments were carried out for the first author’s master’s dissertation at the University of Coimbra (Iqbal, 2026), which has not been published as a journal article. Section 5.5 replaces an earlier BoT-IoT table that used a truncated file. The new counts use a Kaggle mirror, keep all 477 benign rows, and subsample attacks to 350,000 rows. At seed 42 the tuned cut leaves the tree at 175 misses. Section 5.6 reports the four-file shortcut check. The original CIC comparison remains the originally scored slices. Derived materials for the historical calculations are at https://doi.org/10.5281/zenodo.23435601.</w:t>
      </w:r>
    </w:p>
    <w:p>
      <w:pPr>
        <w:spacing w:line="480" w:lineRule="auto" w:after="160"/>
        <w:ind w:firstLine="720"/>
        <w:jc w:val="both"/>
      </w:pPr>
      <w:r>
        <w:rPr>
          <w:rFonts w:ascii="Times New Roman" w:hAnsi="Times New Roman" w:eastAsia="Times New Roman"/>
          <w:b w:val="0"/>
          <w:i w:val="0"/>
          <w:sz w:val="22"/>
        </w:rPr>
        <w:t>The manuscript is not under consideration elsewhere, and all authors have approved it. The authors declare no competing interests. The Zenodo record cited above is an interim deposit of the historical derived calculations. This submission’s Tables 9–11 supersede the BoT-IoT counts in that record. Raw datasets, training checkpoints, and the original CIC prediction scores are not included.</w:t>
      </w:r>
    </w:p>
    <w:p>
      <w:pPr>
        <w:spacing w:line="480" w:lineRule="auto" w:after="160"/>
      </w:pPr>
      <w:r>
        <w:rPr>
          <w:rFonts w:ascii="Times New Roman" w:hAnsi="Times New Roman" w:eastAsia="Times New Roman"/>
          <w:b w:val="0"/>
          <w:i w:val="0"/>
          <w:sz w:val="22"/>
        </w:rPr>
        <w:t>Sincerely,</w:t>
      </w:r>
    </w:p>
    <w:p>
      <w:pPr>
        <w:spacing w:line="480" w:lineRule="auto" w:after="160"/>
      </w:pPr>
      <w:r>
        <w:rPr>
          <w:rFonts w:ascii="Times New Roman" w:hAnsi="Times New Roman" w:eastAsia="Times New Roman"/>
          <w:b w:val="0"/>
          <w:i w:val="0"/>
          <w:sz w:val="22"/>
        </w:rPr>
        <w:t>Hina Iqbal</w:t>
      </w:r>
    </w:p>
    <w:p>
      <w:pPr>
        <w:spacing w:line="480" w:lineRule="auto" w:after="160"/>
      </w:pPr>
      <w:r>
        <w:rPr>
          <w:rFonts w:ascii="Times New Roman" w:hAnsi="Times New Roman" w:eastAsia="Times New Roman"/>
          <w:b w:val="0"/>
          <w:i w:val="0"/>
          <w:sz w:val="22"/>
        </w:rPr>
        <w:t>Corresponding author</w:t>
      </w:r>
    </w:p>
    <w:p>
      <w:pPr>
        <w:spacing w:line="480" w:lineRule="auto" w:after="160"/>
      </w:pPr>
      <w:r>
        <w:rPr>
          <w:rFonts w:ascii="Times New Roman" w:hAnsi="Times New Roman" w:eastAsia="Times New Roman"/>
          <w:b w:val="0"/>
          <w:i w:val="0"/>
          <w:sz w:val="22"/>
        </w:rPr>
        <w:t>hinazoha4@gmail.com</w:t>
      </w:r>
    </w:p>
    <w:p>
      <w:pPr>
        <w:spacing w:line="480" w:lineRule="auto" w:after="160"/>
      </w:pPr>
      <w:r>
        <w:rPr>
          <w:rFonts w:ascii="Times New Roman" w:hAnsi="Times New Roman" w:eastAsia="Times New Roman"/>
          <w:b w:val="0"/>
          <w:i w:val="0"/>
          <w:sz w:val="22"/>
        </w:rPr>
        <w:t>ORCID 0009-0002-2378-9414</w:t>
      </w:r>
    </w:p>
    <w:p>
      <w:pPr>
        <w:spacing w:line="480" w:lineRule="auto" w:after="160"/>
      </w:pPr>
      <w:r>
        <w:rPr>
          <w:rFonts w:ascii="Times New Roman" w:hAnsi="Times New Roman" w:eastAsia="Times New Roman"/>
          <w:b w:val="0"/>
          <w:i w:val="0"/>
          <w:sz w:val="22"/>
        </w:rPr>
        <w:t>Department of Electrical and Computer Engineering (DEEC), University of Coimbra, Rua Sílvio Lima, Polo II, 3030-290 Coimbra, Portugal</w:t>
      </w:r>
    </w:p>
    <w:p>
      <w:pPr>
        <w:spacing w:line="480" w:lineRule="auto" w:after="160"/>
      </w:pPr>
      <w:r>
        <w:rPr>
          <w:rFonts w:ascii="Times New Roman" w:hAnsi="Times New Roman" w:eastAsia="Times New Roman"/>
          <w:b w:val="0"/>
          <w:i w:val="0"/>
          <w:sz w:val="22"/>
        </w:rPr>
        <w:t>Co-authors: Cristiano Premebida; Usman Haider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