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Hindavi / Hindawi, Romenagri, Devanagari and Tajziya</w:t>
      </w:r>
    </w:p>
    <w:p>
      <w:pPr>
        <w:pStyle w:val="Heading1"/>
      </w:pPr>
      <w:r>
        <w:t>Final technical handover and development report for Claude</w:t>
      </w:r>
    </w:p>
    <w:p>
      <w:r>
        <w:rPr>
          <w:b/>
        </w:rPr>
        <w:t>Snapshot date:</w:t>
      </w:r>
      <w:r>
        <w:t xml:space="preserve"> 14 October 2026</w:t>
      </w:r>
    </w:p>
    <w:p>
      <w:r>
        <w:rPr>
          <w:b/>
        </w:rPr>
        <w:t>Purpose:</w:t>
      </w:r>
      <w:r>
        <w:t xml:space="preserve"> Consolidated status, evidence ledger, design rationale, and proposed integration plan for </w:t>
      </w:r>
      <w:r>
        <w:rPr>
          <w:rFonts w:ascii="Consolas" w:hAnsi="Consolas"/>
          <w:sz w:val="17"/>
        </w:rPr>
        <w:t>zistgah/tajziya</w:t>
      </w:r>
      <w:r>
        <w:t>.</w:t>
      </w:r>
    </w:p>
    <w:p>
      <w:r>
        <w:rPr>
          <w:b/>
        </w:rPr>
        <w:t>Status:</w:t>
      </w:r>
      <w:r>
        <w:t xml:space="preserve"> Handover document; no project source code was changed in preparing it. This is not a release certification.</w:t>
      </w:r>
    </w:p>
    <w:p>
      <w:pPr>
        <w:pStyle w:val="Heading1"/>
      </w:pPr>
      <w:r>
        <w:t>1. Executive summary</w:t>
      </w:r>
    </w:p>
    <w:p>
      <w:r>
        <w:t xml:space="preserve">This report consolidates the current Hindavi/Hindawi and Romenagri implementation picture, the Devanagari priorities and character-boundary rationale, the MW/RV conversion experiment through BUILD-0027-CORRECTION, and a concrete proposal for carrying the work into the public </w:t>
      </w:r>
      <w:r>
        <w:rPr>
          <w:rFonts w:ascii="Consolas" w:hAnsi="Consolas"/>
          <w:sz w:val="17"/>
        </w:rPr>
        <w:t>zistgah/tajziya</w:t>
      </w:r>
      <w:r>
        <w:t xml:space="preserve"> project.</w:t>
      </w:r>
    </w:p>
    <w:p>
      <w:r>
        <w:t xml:space="preserve">The central architectural recommendation is </w:t>
      </w:r>
      <w:r>
        <w:rPr>
          <w:b/>
        </w:rPr>
        <w:t>not to create a second, competing Romenagri implementation inside Tajziya</w:t>
      </w:r>
      <w:r>
        <w:t xml:space="preserve">. Tajziya already contains </w:t>
      </w:r>
      <w:r>
        <w:rPr>
          <w:rFonts w:ascii="Consolas" w:hAnsi="Consolas"/>
          <w:sz w:val="17"/>
        </w:rPr>
        <w:t>src/tajziya/romenagri.py</w:t>
      </w:r>
      <w:r>
        <w:t xml:space="preserve">, which wraps the author's vendored native Romenagri implementation from </w:t>
      </w:r>
      <w:r>
        <w:rPr>
          <w:rFonts w:ascii="Consolas" w:hAnsi="Consolas"/>
          <w:sz w:val="17"/>
        </w:rPr>
        <w:t>hindawiai/chintamani</w:t>
      </w:r>
      <w:r>
        <w:t xml:space="preserve"> at pinned commit </w:t>
      </w:r>
      <w:r>
        <w:rPr>
          <w:rFonts w:ascii="Consolas" w:hAnsi="Consolas"/>
          <w:sz w:val="17"/>
        </w:rPr>
        <w:t>3ad87785a75dc2b18438a8b068807103cb920c81</w:t>
      </w:r>
      <w:r>
        <w:t xml:space="preserve">. That implementation is built with its own Makefile and runs the pipeline </w:t>
      </w:r>
      <w:r>
        <w:rPr>
          <w:rFonts w:ascii="Consolas" w:hAnsi="Consolas"/>
          <w:sz w:val="17"/>
        </w:rPr>
        <w:t>UTF-8 → UTF-16 → uni2acii → acii2rmn</w:t>
      </w:r>
      <w:r>
        <w:t xml:space="preserve"> for Devanagari-to-Romenagri and the reverse pipeline for Romenagri-to-Devanagari. The package declares the upstream Romenagri code as GPL-2.0-or-later.</w:t>
      </w:r>
    </w:p>
    <w:p>
      <w:r>
        <w:t>The BUILD-0024/0027 work adds valuable *separate evidence*: a reconstructed Python word-level profile, adversarial collision and Unicode tests, a conversion audit for a large MW inventory, and an RV 1.1 surface-form experiment. That reconstructed profile must not be silently substituted for Tajziya's pinned native implementation. The two layers have different histories and observed behavior; their compatibility boundary must be tested, documented, and versioned.</w:t>
      </w:r>
    </w:p>
    <w:p>
      <w:r>
        <w:t xml:space="preserve">Tajziya's current </w:t>
      </w:r>
      <w:r>
        <w:rPr>
          <w:rFonts w:ascii="Consolas" w:hAnsi="Consolas"/>
          <w:sz w:val="17"/>
        </w:rPr>
        <w:t>main</w:t>
      </w:r>
      <w:r>
        <w:t xml:space="preserve"> already identifies the relevant work package: </w:t>
      </w:r>
      <w:r>
        <w:rPr>
          <w:b/>
        </w:rPr>
        <w:t>P-SAN-01 — “Classical Sanskrit: Devanagari input through the Romenagri tables to the segmenter's internal form.”</w:t>
      </w:r>
      <w:r>
        <w:t xml:space="preserve"> The Classical Sanskrit module currently refuses Devanagari input at L1 because the script pivot is not bound. P-SAN-01 is therefore the correct initial integration gate. The generic shared script-pivot package </w:t>
      </w:r>
      <w:r>
        <w:rPr>
          <w:b/>
        </w:rPr>
        <w:t>P-L1-01</w:t>
      </w:r>
      <w:r>
        <w:t xml:space="preserve"> is for scripts without a Romenagri table; it should not be used to bypass or duplicate the existing Devanagari/Romenagri path.</w:t>
      </w:r>
    </w:p>
    <w:p>
      <w:r>
        <w:t>The BUILD-0027 correction reports:</w:t>
      </w:r>
    </w:p>
    <w:p>
      <w:pPr>
        <w:pStyle w:val="ListBullet"/>
        <w:spacing w:after="40"/>
      </w:pPr>
      <w:r>
        <w:t>MW: 287,432 source records; 287,312 converted; 120 rejected and explicitly accounted for.</w:t>
      </w:r>
    </w:p>
    <w:p>
      <w:pPr>
        <w:pStyle w:val="ListBullet"/>
        <w:spacing w:after="40"/>
      </w:pPr>
      <w:r>
        <w:t>RV 1.1: 47 word occurrences; 38 fully converted; 9 rejected and retained as original IAST.</w:t>
      </w:r>
    </w:p>
    <w:p>
      <w:pPr>
        <w:pStyle w:val="ListBullet"/>
        <w:spacing w:after="40"/>
      </w:pPr>
      <w:r>
        <w:rPr>
          <w:rFonts w:ascii="Consolas" w:hAnsi="Consolas"/>
          <w:sz w:val="17"/>
        </w:rPr>
        <w:t>īḷe</w:t>
      </w:r>
      <w:r>
        <w:t xml:space="preserve">: upstream IAST-to-Devanagari defect corrected in the test path from the incorrect </w:t>
      </w:r>
      <w:r>
        <w:rPr>
          <w:rFonts w:ascii="Consolas" w:hAnsi="Consolas"/>
          <w:sz w:val="17"/>
        </w:rPr>
        <w:t>ईऌए</w:t>
      </w:r>
      <w:r>
        <w:t xml:space="preserve"> to </w:t>
      </w:r>
      <w:r>
        <w:rPr>
          <w:rFonts w:ascii="Consolas" w:hAnsi="Consolas"/>
          <w:sz w:val="17"/>
        </w:rPr>
        <w:t>ईळे</w:t>
      </w:r>
      <w:r>
        <w:t xml:space="preserve">; Romenagri still rejects </w:t>
      </w:r>
      <w:r>
        <w:rPr>
          <w:rFonts w:ascii="Consolas" w:hAnsi="Consolas"/>
          <w:sz w:val="17"/>
        </w:rPr>
        <w:t>ळ</w:t>
      </w:r>
      <w:r>
        <w:t xml:space="preserve"> (U+0933), so this token remains in IAST in the experiment corpus.</w:t>
      </w:r>
    </w:p>
    <w:p>
      <w:pPr>
        <w:pStyle w:val="ListBullet"/>
        <w:spacing w:after="40"/>
      </w:pPr>
      <w:r>
        <w:t>Nirgundi: 10 exact-token matches, 9 distinct MW inventory IDs, 50 matched code points out of 436 concatenated-corpus code points. All ten matches are reported to involve fully converted tokens.</w:t>
      </w:r>
    </w:p>
    <w:p>
      <w:pPr>
        <w:pStyle w:val="ListBullet"/>
        <w:spacing w:after="40"/>
      </w:pPr>
      <w:r>
        <w:t xml:space="preserve">Tests reported by Grok: two Nirgundi experiment tests passed, the direct </w:t>
      </w:r>
      <w:r>
        <w:rPr>
          <w:rFonts w:ascii="Consolas" w:hAnsi="Consolas"/>
          <w:sz w:val="17"/>
        </w:rPr>
        <w:t>īḷe</w:t>
      </w:r>
      <w:r>
        <w:t xml:space="preserve"> conversion check passed, and the experiment-regeneration command exited successfully.</w:t>
      </w:r>
    </w:p>
    <w:p>
      <w:r>
        <w:t>Those results are useful but the correction archive is not a complete reproducibility bundle. The summary audit still has stale RV counts, the “CSV” match ledger is JSON Lines, the checksum file's self-hash entry does not match the file's actual hash, and the correction archive omits the regenerated corpus and complete experiment output directory. The correction function also uses global output-string substitutions; negative tests are needed to protect genuine vocalic-L forms.</w:t>
      </w:r>
    </w:p>
    <w:p>
      <w:r>
        <w:rPr>
          <w:b/>
        </w:rPr>
        <w:t>Proposed sequence:</w:t>
      </w:r>
      <w:r>
        <w:t xml:space="preserve"> (1) reconcile and preserve the BUILD-0027 evidence; (2) harden and test the transliteration contract; (3) implement P-SAN-01 using Tajziya's existing native Romenagri wrapper plus an explicit, audited adapter to the Sanskrit segmenter's internal representation; (4) make unsupported input and ambiguity explicit rather than guessing; (5) pass the packet acceptance command and repository gate; (6) only then consider extracting a general shared engine or binding more scripts/languages.</w:t>
      </w:r>
    </w:p>
    <w:p>
      <w:pPr>
        <w:pStyle w:val="Heading1"/>
      </w:pPr>
      <w:r>
        <w:t>2. Terminology and scope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7E5EF"/>
          </w:tcPr>
          <w:p>
            <w:r>
              <w:rPr>
                <w:b/>
                <w:sz w:val="15"/>
              </w:rPr>
            </w:r>
            <w:r>
              <w:rPr>
                <w:b/>
                <w:sz w:val="15"/>
              </w:rPr>
              <w:t>Term</w:t>
            </w:r>
          </w:p>
        </w:tc>
        <w:tc>
          <w:tcPr>
            <w:tcW w:type="dxa" w:w="3331"/>
            <w:shd w:fill="D7E5EF"/>
          </w:tcPr>
          <w:p>
            <w:r>
              <w:rPr>
                <w:b/>
                <w:sz w:val="15"/>
              </w:rPr>
            </w:r>
            <w:r>
              <w:rPr>
                <w:b/>
                <w:sz w:val="15"/>
              </w:rPr>
              <w:t>Meaning in this handover</w:t>
            </w:r>
          </w:p>
        </w:tc>
        <w:tc>
          <w:tcPr>
            <w:tcW w:type="dxa" w:w="3331"/>
            <w:shd w:fill="D7E5EF"/>
          </w:tcPr>
          <w:p>
            <w:r>
              <w:rPr>
                <w:b/>
                <w:sz w:val="15"/>
              </w:rPr>
            </w:r>
            <w:r>
              <w:rPr>
                <w:b/>
                <w:sz w:val="15"/>
              </w:rPr>
              <w:t>Boundary</w:t>
            </w:r>
          </w:p>
        </w:tc>
      </w:tr>
      <w:tr>
        <w:tc>
          <w:tcPr>
            <w:tcW w:type="dxa" w:w="3331"/>
            <w:vAlign w:val="center"/>
          </w:tcPr>
          <w:p>
            <w:r>
              <w:rPr>
                <w:sz w:val="15"/>
              </w:rPr>
            </w:r>
            <w:r>
              <w:rPr>
                <w:b/>
                <w:sz w:val="15"/>
              </w:rPr>
              <w:t>Language</w:t>
            </w:r>
          </w:p>
        </w:tc>
        <w:tc>
          <w:tcPr>
            <w:tcW w:type="dxa" w:w="3331"/>
            <w:vAlign w:val="center"/>
          </w:tcPr>
          <w:p>
            <w:r>
              <w:rPr>
                <w:sz w:val="15"/>
              </w:rPr>
            </w:r>
            <w:r>
              <w:rPr>
                <w:sz w:val="15"/>
              </w:rPr>
              <w:t>A linguistic system such as Hindi, Marathi, Sanskrit, or another language.</w:t>
            </w:r>
          </w:p>
        </w:tc>
        <w:tc>
          <w:tcPr>
            <w:tcW w:type="dxa" w:w="3331"/>
            <w:vAlign w:val="center"/>
          </w:tcPr>
          <w:p>
            <w:r>
              <w:rPr>
                <w:sz w:val="15"/>
              </w:rPr>
            </w:r>
            <w:r>
              <w:rPr>
                <w:sz w:val="15"/>
              </w:rPr>
              <w:t>Not the same thing as a script or transliteration scheme.</w:t>
            </w:r>
          </w:p>
        </w:tc>
      </w:tr>
      <w:tr>
        <w:tc>
          <w:tcPr>
            <w:tcW w:type="dxa" w:w="3331"/>
            <w:vAlign w:val="center"/>
          </w:tcPr>
          <w:p>
            <w:r>
              <w:rPr>
                <w:sz w:val="15"/>
              </w:rPr>
            </w:r>
            <w:r>
              <w:rPr>
                <w:b/>
                <w:sz w:val="15"/>
              </w:rPr>
              <w:t>Script</w:t>
            </w:r>
          </w:p>
        </w:tc>
        <w:tc>
          <w:tcPr>
            <w:tcW w:type="dxa" w:w="3331"/>
            <w:vAlign w:val="center"/>
          </w:tcPr>
          <w:p>
            <w:r>
              <w:rPr>
                <w:sz w:val="15"/>
              </w:rPr>
            </w:r>
            <w:r>
              <w:rPr>
                <w:sz w:val="15"/>
              </w:rPr>
              <w:t>A writing system, such as Devanagari.</w:t>
            </w:r>
          </w:p>
        </w:tc>
        <w:tc>
          <w:tcPr>
            <w:tcW w:type="dxa" w:w="3331"/>
            <w:vAlign w:val="center"/>
          </w:tcPr>
          <w:p>
            <w:r>
              <w:rPr>
                <w:sz w:val="15"/>
              </w:rPr>
            </w:r>
            <w:r>
              <w:rPr>
                <w:sz w:val="15"/>
              </w:rPr>
              <w:t>A script can write more than one language; a language can use more than one script.</w:t>
            </w:r>
          </w:p>
        </w:tc>
      </w:tr>
      <w:tr>
        <w:tc>
          <w:tcPr>
            <w:tcW w:type="dxa" w:w="3331"/>
            <w:vAlign w:val="center"/>
          </w:tcPr>
          <w:p>
            <w:r>
              <w:rPr>
                <w:sz w:val="15"/>
              </w:rPr>
            </w:r>
            <w:r>
              <w:rPr>
                <w:b/>
                <w:sz w:val="15"/>
              </w:rPr>
              <w:t>Transliteration scheme</w:t>
            </w:r>
          </w:p>
        </w:tc>
        <w:tc>
          <w:tcPr>
            <w:tcW w:type="dxa" w:w="3331"/>
            <w:vAlign w:val="center"/>
          </w:tcPr>
          <w:p>
            <w:r>
              <w:rPr>
                <w:sz w:val="15"/>
              </w:rPr>
            </w:r>
            <w:r>
              <w:rPr>
                <w:sz w:val="15"/>
              </w:rPr>
              <w:t>A declared mapping between written representations.</w:t>
            </w:r>
          </w:p>
        </w:tc>
        <w:tc>
          <w:tcPr>
            <w:tcW w:type="dxa" w:w="3331"/>
            <w:vAlign w:val="center"/>
          </w:tcPr>
          <w:p>
            <w:r>
              <w:rPr>
                <w:sz w:val="15"/>
              </w:rPr>
            </w:r>
            <w:r>
              <w:rPr>
                <w:sz w:val="15"/>
              </w:rPr>
              <w:t>Not a pronunciation model, and not automatically reversible.</w:t>
            </w:r>
          </w:p>
        </w:tc>
      </w:tr>
      <w:tr>
        <w:tc>
          <w:tcPr>
            <w:tcW w:type="dxa" w:w="3331"/>
            <w:vAlign w:val="center"/>
          </w:tcPr>
          <w:p>
            <w:r>
              <w:rPr>
                <w:sz w:val="15"/>
              </w:rPr>
            </w:r>
            <w:r>
              <w:rPr>
                <w:b/>
                <w:sz w:val="15"/>
              </w:rPr>
              <w:t>Romenagri</w:t>
            </w:r>
          </w:p>
        </w:tc>
        <w:tc>
          <w:tcPr>
            <w:tcW w:type="dxa" w:w="3331"/>
            <w:vAlign w:val="center"/>
          </w:tcPr>
          <w:p>
            <w:r>
              <w:rPr>
                <w:sz w:val="15"/>
              </w:rPr>
            </w:r>
            <w:r>
              <w:rPr>
                <w:sz w:val="15"/>
              </w:rPr>
              <w:t>The author's ASCII-oriented computational representation and associated conversion tools.</w:t>
            </w:r>
          </w:p>
        </w:tc>
        <w:tc>
          <w:tcPr>
            <w:tcW w:type="dxa" w:w="3331"/>
            <w:vAlign w:val="center"/>
          </w:tcPr>
          <w:p>
            <w:r>
              <w:rPr>
                <w:sz w:val="15"/>
              </w:rPr>
            </w:r>
            <w:r>
              <w:rPr>
                <w:sz w:val="15"/>
              </w:rPr>
              <w:t>Not a language, not Devanagari, not IAST, and not interchangeable with every Latin transliteration.</w:t>
            </w:r>
          </w:p>
        </w:tc>
      </w:tr>
      <w:tr>
        <w:tc>
          <w:tcPr>
            <w:tcW w:type="dxa" w:w="3331"/>
            <w:vAlign w:val="center"/>
          </w:tcPr>
          <w:p>
            <w:r>
              <w:rPr>
                <w:sz w:val="15"/>
              </w:rPr>
            </w:r>
            <w:r>
              <w:rPr>
                <w:b/>
                <w:sz w:val="15"/>
              </w:rPr>
              <w:t>Hindavi/Hindawi</w:t>
            </w:r>
          </w:p>
        </w:tc>
        <w:tc>
          <w:tcPr>
            <w:tcW w:type="dxa" w:w="3331"/>
            <w:vAlign w:val="center"/>
          </w:tcPr>
          <w:p>
            <w:r>
              <w:rPr>
                <w:sz w:val="15"/>
              </w:rPr>
            </w:r>
            <w:r>
              <w:rPr>
                <w:sz w:val="15"/>
              </w:rPr>
              <w:t>The wider localized programming/computing and linguistic infrastructure context in which Romenagri is one component.</w:t>
            </w:r>
          </w:p>
        </w:tc>
        <w:tc>
          <w:tcPr>
            <w:tcW w:type="dxa" w:w="3331"/>
            <w:vAlign w:val="center"/>
          </w:tcPr>
          <w:p>
            <w:r>
              <w:rPr>
                <w:sz w:val="15"/>
              </w:rPr>
            </w:r>
            <w:r>
              <w:rPr>
                <w:sz w:val="15"/>
              </w:rPr>
              <w:t>Not merely a keyboard or an input-method editor.</w:t>
            </w:r>
          </w:p>
        </w:tc>
      </w:tr>
      <w:tr>
        <w:tc>
          <w:tcPr>
            <w:tcW w:type="dxa" w:w="3331"/>
            <w:vAlign w:val="center"/>
          </w:tcPr>
          <w:p>
            <w:r>
              <w:rPr>
                <w:sz w:val="15"/>
              </w:rPr>
            </w:r>
            <w:r>
              <w:rPr>
                <w:b/>
                <w:sz w:val="15"/>
              </w:rPr>
              <w:t>ILM</w:t>
            </w:r>
          </w:p>
        </w:tc>
        <w:tc>
          <w:tcPr>
            <w:tcW w:type="dxa" w:w="3331"/>
            <w:vAlign w:val="center"/>
          </w:tcPr>
          <w:p>
            <w:r>
              <w:rPr>
                <w:sz w:val="15"/>
              </w:rPr>
            </w:r>
            <w:r>
              <w:rPr>
                <w:sz w:val="15"/>
              </w:rPr>
              <w:t>The integrative linguistic/multiscript architecture and layer model.</w:t>
            </w:r>
          </w:p>
        </w:tc>
        <w:tc>
          <w:tcPr>
            <w:tcW w:type="dxa" w:w="3331"/>
            <w:vAlign w:val="center"/>
          </w:tcPr>
          <w:p>
            <w:r>
              <w:rPr>
                <w:sz w:val="15"/>
              </w:rPr>
            </w:r>
            <w:r>
              <w:rPr>
                <w:sz w:val="15"/>
              </w:rPr>
              <w:t>An architectural objective, not a claim that all script pivots or language modules are already implemented.</w:t>
            </w:r>
          </w:p>
        </w:tc>
      </w:tr>
      <w:tr>
        <w:tc>
          <w:tcPr>
            <w:tcW w:type="dxa" w:w="3331"/>
            <w:vAlign w:val="center"/>
          </w:tcPr>
          <w:p>
            <w:r>
              <w:rPr>
                <w:sz w:val="15"/>
              </w:rPr>
            </w:r>
            <w:r>
              <w:rPr>
                <w:b/>
                <w:sz w:val="15"/>
              </w:rPr>
              <w:t>Nirgundi baseline</w:t>
            </w:r>
          </w:p>
        </w:tc>
        <w:tc>
          <w:tcPr>
            <w:tcW w:type="dxa" w:w="3331"/>
            <w:vAlign w:val="center"/>
          </w:tcPr>
          <w:p>
            <w:r>
              <w:rPr>
                <w:sz w:val="15"/>
              </w:rPr>
            </w:r>
            <w:r>
              <w:rPr>
                <w:sz w:val="15"/>
              </w:rPr>
              <w:t>An exact whitespace-delimited surface-token matching experiment.</w:t>
            </w:r>
          </w:p>
        </w:tc>
        <w:tc>
          <w:tcPr>
            <w:tcW w:type="dxa" w:w="3331"/>
            <w:vAlign w:val="center"/>
          </w:tcPr>
          <w:p>
            <w:r>
              <w:rPr>
                <w:sz w:val="15"/>
              </w:rPr>
            </w:r>
            <w:r>
              <w:rPr>
                <w:sz w:val="15"/>
              </w:rPr>
              <w:t>Not morphological analysis, sandhi reversal, fuzzy matching, or semantic interpretation.</w:t>
            </w:r>
          </w:p>
        </w:tc>
      </w:tr>
      <w:tr>
        <w:tc>
          <w:tcPr>
            <w:tcW w:type="dxa" w:w="3331"/>
            <w:vAlign w:val="center"/>
          </w:tcPr>
          <w:p>
            <w:r>
              <w:rPr>
                <w:sz w:val="15"/>
              </w:rPr>
            </w:r>
            <w:r>
              <w:rPr>
                <w:b/>
                <w:sz w:val="15"/>
              </w:rPr>
              <w:t>Tajziya</w:t>
            </w:r>
          </w:p>
        </w:tc>
        <w:tc>
          <w:tcPr>
            <w:tcW w:type="dxa" w:w="3331"/>
            <w:vAlign w:val="center"/>
          </w:tcPr>
          <w:p>
            <w:r>
              <w:rPr>
                <w:sz w:val="15"/>
              </w:rPr>
            </w:r>
            <w:r>
              <w:rPr>
                <w:sz w:val="15"/>
              </w:rPr>
              <w:t>The language-parsing front end in the Dhancha/Project ILM architecture.</w:t>
            </w:r>
          </w:p>
        </w:tc>
        <w:tc>
          <w:tcPr>
            <w:tcW w:type="dxa" w:w="3331"/>
            <w:vAlign w:val="center"/>
          </w:tcPr>
          <w:p>
            <w:r>
              <w:rPr>
                <w:sz w:val="15"/>
              </w:rPr>
            </w:r>
            <w:r>
              <w:rPr>
                <w:sz w:val="15"/>
              </w:rPr>
              <w:t>It must obey its module API, registry, refusal, provenance, licensing, and acceptance contracts.</w:t>
            </w:r>
          </w:p>
        </w:tc>
      </w:tr>
    </w:tbl>
    <w:p>
      <w:pPr>
        <w:spacing w:after="20"/>
      </w:pPr>
    </w:p>
    <w:p>
      <w:pPr>
        <w:pStyle w:val="Heading2"/>
      </w:pPr>
      <w:r>
        <w:t>Design rationale recorded from the project owner</w:t>
      </w:r>
    </w:p>
    <w:p>
      <w:r>
        <w:t>Some Sanskrit-specific characters were not implemented in the reconstructed Romenagri inventory for reasons that include regional variation in pronunciation and the risk of asserting one pronunciation without a clearly declared convention. A parallel priority was to support practical Devanagari workflows for Hindi, Marathi, and related languages, rather than making every Sanskrit-specific or historical character a prerequisite for the core system.</w:t>
      </w:r>
    </w:p>
    <w:p>
      <w:r>
        <w:t xml:space="preserve">This rationale should be represented accurately: </w:t>
      </w:r>
      <w:r>
        <w:rPr>
          <w:b/>
        </w:rPr>
        <w:t>regional pronunciation variation does not make orthographic representation impossible</w:t>
      </w:r>
      <w:r>
        <w:t>. A system can preserve a written distinction without asserting a universal spoken realization. Future support can therefore be profile-based and evidence-gated. The current absence of a mapping is an implementation fact; it should not be automatically interpreted as a permanent policy exclusion.</w:t>
      </w:r>
    </w:p>
    <w:p>
      <w:r>
        <w:t xml:space="preserve">The Marathi letter </w:t>
      </w:r>
      <w:r>
        <w:rPr>
          <w:b/>
        </w:rPr>
        <w:t>ळ</w:t>
      </w:r>
      <w:r>
        <w:t xml:space="preserve"> (retroflex lateral) is particularly important. It is not the same character as </w:t>
      </w:r>
      <w:r>
        <w:rPr>
          <w:b/>
        </w:rPr>
        <w:t>ऌ</w:t>
      </w:r>
      <w:r>
        <w:t xml:space="preserve"> (independent vocalic-L vowel) or </w:t>
      </w:r>
      <w:r>
        <w:rPr>
          <w:b/>
        </w:rPr>
        <w:t>ॡ</w:t>
      </w:r>
      <w:r>
        <w:t xml:space="preserve"> (long vocalic-L vowel). Similarly, </w:t>
      </w:r>
      <w:r>
        <w:rPr>
          <w:b/>
        </w:rPr>
        <w:t>ॠ</w:t>
      </w:r>
      <w:r>
        <w:t xml:space="preserve"> is a long vocalic-R letter, not a variant of the consonant </w:t>
      </w:r>
      <w:r>
        <w:rPr>
          <w:b/>
        </w:rPr>
        <w:t>र</w:t>
      </w:r>
      <w:r>
        <w: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D7E5EF"/>
          </w:tcPr>
          <w:p>
            <w:r>
              <w:rPr>
                <w:b/>
                <w:sz w:val="15"/>
              </w:rPr>
            </w:r>
            <w:r>
              <w:rPr>
                <w:b/>
                <w:sz w:val="15"/>
              </w:rPr>
              <w:t>Character</w:t>
            </w:r>
          </w:p>
        </w:tc>
        <w:tc>
          <w:tcPr>
            <w:tcW w:type="dxa" w:w="2498"/>
            <w:shd w:fill="D7E5EF"/>
          </w:tcPr>
          <w:p>
            <w:r>
              <w:rPr>
                <w:b/>
                <w:sz w:val="15"/>
              </w:rPr>
            </w:r>
            <w:r>
              <w:rPr>
                <w:b/>
                <w:sz w:val="15"/>
              </w:rPr>
              <w:t>Unicode</w:t>
            </w:r>
          </w:p>
        </w:tc>
        <w:tc>
          <w:tcPr>
            <w:tcW w:type="dxa" w:w="2498"/>
            <w:shd w:fill="D7E5EF"/>
          </w:tcPr>
          <w:p>
            <w:r>
              <w:rPr>
                <w:b/>
                <w:sz w:val="15"/>
              </w:rPr>
            </w:r>
            <w:r>
              <w:rPr>
                <w:b/>
                <w:sz w:val="15"/>
              </w:rPr>
              <w:t>Identification</w:t>
            </w:r>
          </w:p>
        </w:tc>
        <w:tc>
          <w:tcPr>
            <w:tcW w:type="dxa" w:w="2498"/>
            <w:shd w:fill="D7E5EF"/>
          </w:tcPr>
          <w:p>
            <w:r>
              <w:rPr>
                <w:b/>
                <w:sz w:val="15"/>
              </w:rPr>
            </w:r>
            <w:r>
              <w:rPr>
                <w:b/>
                <w:sz w:val="15"/>
              </w:rPr>
              <w:t>Current BUILD-0027 audit role</w:t>
            </w:r>
          </w:p>
        </w:tc>
      </w:tr>
      <w:tr>
        <w:tc>
          <w:tcPr>
            <w:tcW w:type="dxa" w:w="2498"/>
            <w:vAlign w:val="center"/>
          </w:tcPr>
          <w:p>
            <w:r>
              <w:rPr>
                <w:sz w:val="15"/>
              </w:rPr>
            </w:r>
            <w:r>
              <w:rPr>
                <w:sz w:val="15"/>
              </w:rPr>
              <w:t>ळ</w:t>
            </w:r>
          </w:p>
        </w:tc>
        <w:tc>
          <w:tcPr>
            <w:tcW w:type="dxa" w:w="2498"/>
            <w:vAlign w:val="center"/>
          </w:tcPr>
          <w:p>
            <w:r>
              <w:rPr>
                <w:sz w:val="15"/>
              </w:rPr>
            </w:r>
            <w:r>
              <w:rPr>
                <w:sz w:val="15"/>
              </w:rPr>
              <w:t>U+0933</w:t>
            </w:r>
          </w:p>
        </w:tc>
        <w:tc>
          <w:tcPr>
            <w:tcW w:type="dxa" w:w="2498"/>
            <w:vAlign w:val="center"/>
          </w:tcPr>
          <w:p>
            <w:r>
              <w:rPr>
                <w:sz w:val="15"/>
              </w:rPr>
            </w:r>
            <w:r>
              <w:rPr>
                <w:sz w:val="15"/>
              </w:rPr>
              <w:t>Retroflex lateral consonant letter; used in Marathi and other languages.</w:t>
            </w:r>
          </w:p>
        </w:tc>
        <w:tc>
          <w:tcPr>
            <w:tcW w:type="dxa" w:w="2498"/>
            <w:vAlign w:val="center"/>
          </w:tcPr>
          <w:p>
            <w:r>
              <w:rPr>
                <w:sz w:val="15"/>
              </w:rPr>
            </w:r>
            <w:r>
              <w:rPr>
                <w:sz w:val="15"/>
              </w:rPr>
              <w:t xml:space="preserve">92 MW records rejected because the reconstructed Romenagri inventory does not map it; RV </w:t>
            </w:r>
            <w:r>
              <w:rPr>
                <w:rFonts w:ascii="Consolas" w:hAnsi="Consolas"/>
                <w:sz w:val="15"/>
              </w:rPr>
              <w:t>īḷe</w:t>
            </w:r>
            <w:r>
              <w:rPr>
                <w:sz w:val="15"/>
              </w:rPr>
              <w:t xml:space="preserve"> also reaches this unsupported character.</w:t>
            </w:r>
          </w:p>
        </w:tc>
      </w:tr>
      <w:tr>
        <w:tc>
          <w:tcPr>
            <w:tcW w:type="dxa" w:w="2498"/>
            <w:vAlign w:val="center"/>
          </w:tcPr>
          <w:p>
            <w:r>
              <w:rPr>
                <w:sz w:val="15"/>
              </w:rPr>
            </w:r>
            <w:r>
              <w:rPr>
                <w:sz w:val="15"/>
              </w:rPr>
              <w:t>ऌ</w:t>
            </w:r>
          </w:p>
        </w:tc>
        <w:tc>
          <w:tcPr>
            <w:tcW w:type="dxa" w:w="2498"/>
            <w:vAlign w:val="center"/>
          </w:tcPr>
          <w:p>
            <w:r>
              <w:rPr>
                <w:sz w:val="15"/>
              </w:rPr>
            </w:r>
            <w:r>
              <w:rPr>
                <w:sz w:val="15"/>
              </w:rPr>
              <w:t>U+090C</w:t>
            </w:r>
          </w:p>
        </w:tc>
        <w:tc>
          <w:tcPr>
            <w:tcW w:type="dxa" w:w="2498"/>
            <w:vAlign w:val="center"/>
          </w:tcPr>
          <w:p>
            <w:r>
              <w:rPr>
                <w:sz w:val="15"/>
              </w:rPr>
            </w:r>
            <w:r>
              <w:rPr>
                <w:sz w:val="15"/>
              </w:rPr>
              <w:t>Independent vocalic-L vowel.</w:t>
            </w:r>
          </w:p>
        </w:tc>
        <w:tc>
          <w:tcPr>
            <w:tcW w:type="dxa" w:w="2498"/>
            <w:vAlign w:val="center"/>
          </w:tcPr>
          <w:p>
            <w:r>
              <w:rPr>
                <w:sz w:val="15"/>
              </w:rPr>
            </w:r>
            <w:r>
              <w:rPr>
                <w:sz w:val="15"/>
              </w:rPr>
              <w:t xml:space="preserve">6 MW records rejected. It was also involved in the erroneous pre-correction intermediate for </w:t>
            </w:r>
            <w:r>
              <w:rPr>
                <w:rFonts w:ascii="Consolas" w:hAnsi="Consolas"/>
                <w:sz w:val="15"/>
              </w:rPr>
              <w:t>īḷe</w:t>
            </w:r>
            <w:r>
              <w:rPr>
                <w:sz w:val="15"/>
              </w:rPr>
              <w:t>.</w:t>
            </w:r>
          </w:p>
        </w:tc>
      </w:tr>
      <w:tr>
        <w:tc>
          <w:tcPr>
            <w:tcW w:type="dxa" w:w="2498"/>
            <w:vAlign w:val="center"/>
          </w:tcPr>
          <w:p>
            <w:r>
              <w:rPr>
                <w:sz w:val="15"/>
              </w:rPr>
            </w:r>
            <w:r>
              <w:rPr>
                <w:sz w:val="15"/>
              </w:rPr>
              <w:t>ॡ</w:t>
            </w:r>
          </w:p>
        </w:tc>
        <w:tc>
          <w:tcPr>
            <w:tcW w:type="dxa" w:w="2498"/>
            <w:vAlign w:val="center"/>
          </w:tcPr>
          <w:p>
            <w:r>
              <w:rPr>
                <w:sz w:val="15"/>
              </w:rPr>
            </w:r>
            <w:r>
              <w:rPr>
                <w:sz w:val="15"/>
              </w:rPr>
              <w:t>U+0961</w:t>
            </w:r>
          </w:p>
        </w:tc>
        <w:tc>
          <w:tcPr>
            <w:tcW w:type="dxa" w:w="2498"/>
            <w:vAlign w:val="center"/>
          </w:tcPr>
          <w:p>
            <w:r>
              <w:rPr>
                <w:sz w:val="15"/>
              </w:rPr>
            </w:r>
            <w:r>
              <w:rPr>
                <w:sz w:val="15"/>
              </w:rPr>
              <w:t>Long vocalic-L vowel.</w:t>
            </w:r>
          </w:p>
        </w:tc>
        <w:tc>
          <w:tcPr>
            <w:tcW w:type="dxa" w:w="2498"/>
            <w:vAlign w:val="center"/>
          </w:tcPr>
          <w:p>
            <w:r>
              <w:rPr>
                <w:sz w:val="15"/>
              </w:rPr>
            </w:r>
            <w:r>
              <w:rPr>
                <w:sz w:val="15"/>
              </w:rPr>
              <w:t>8 MW records rejected.</w:t>
            </w:r>
          </w:p>
        </w:tc>
      </w:tr>
      <w:tr>
        <w:tc>
          <w:tcPr>
            <w:tcW w:type="dxa" w:w="2498"/>
            <w:vAlign w:val="center"/>
          </w:tcPr>
          <w:p>
            <w:r>
              <w:rPr>
                <w:sz w:val="15"/>
              </w:rPr>
            </w:r>
            <w:r>
              <w:rPr>
                <w:sz w:val="15"/>
              </w:rPr>
              <w:t>ॠ</w:t>
            </w:r>
          </w:p>
        </w:tc>
        <w:tc>
          <w:tcPr>
            <w:tcW w:type="dxa" w:w="2498"/>
            <w:vAlign w:val="center"/>
          </w:tcPr>
          <w:p>
            <w:r>
              <w:rPr>
                <w:sz w:val="15"/>
              </w:rPr>
            </w:r>
            <w:r>
              <w:rPr>
                <w:sz w:val="15"/>
              </w:rPr>
              <w:t>U+0960</w:t>
            </w:r>
          </w:p>
        </w:tc>
        <w:tc>
          <w:tcPr>
            <w:tcW w:type="dxa" w:w="2498"/>
            <w:vAlign w:val="center"/>
          </w:tcPr>
          <w:p>
            <w:r>
              <w:rPr>
                <w:sz w:val="15"/>
              </w:rPr>
            </w:r>
            <w:r>
              <w:rPr>
                <w:sz w:val="15"/>
              </w:rPr>
              <w:t>Long vocalic-R vowel.</w:t>
            </w:r>
          </w:p>
        </w:tc>
        <w:tc>
          <w:tcPr>
            <w:tcW w:type="dxa" w:w="2498"/>
            <w:vAlign w:val="center"/>
          </w:tcPr>
          <w:p>
            <w:r>
              <w:rPr>
                <w:sz w:val="15"/>
              </w:rPr>
            </w:r>
            <w:r>
              <w:rPr>
                <w:sz w:val="15"/>
              </w:rPr>
              <w:t>14 MW records rejected.</w:t>
            </w:r>
          </w:p>
        </w:tc>
      </w:tr>
      <w:tr>
        <w:tc>
          <w:tcPr>
            <w:tcW w:type="dxa" w:w="2498"/>
            <w:vAlign w:val="center"/>
          </w:tcPr>
          <w:p>
            <w:r>
              <w:rPr>
                <w:sz w:val="15"/>
              </w:rPr>
            </w:r>
            <w:r>
              <w:rPr>
                <w:sz w:val="15"/>
              </w:rPr>
              <w:t>र</w:t>
            </w:r>
          </w:p>
        </w:tc>
        <w:tc>
          <w:tcPr>
            <w:tcW w:type="dxa" w:w="2498"/>
            <w:vAlign w:val="center"/>
          </w:tcPr>
          <w:p>
            <w:r>
              <w:rPr>
                <w:sz w:val="15"/>
              </w:rPr>
            </w:r>
            <w:r>
              <w:rPr>
                <w:sz w:val="15"/>
              </w:rPr>
              <w:t>U+0930</w:t>
            </w:r>
          </w:p>
        </w:tc>
        <w:tc>
          <w:tcPr>
            <w:tcW w:type="dxa" w:w="2498"/>
            <w:vAlign w:val="center"/>
          </w:tcPr>
          <w:p>
            <w:r>
              <w:rPr>
                <w:sz w:val="15"/>
              </w:rPr>
            </w:r>
            <w:r>
              <w:rPr>
                <w:sz w:val="15"/>
              </w:rPr>
              <w:t>Consonant letter ra.</w:t>
            </w:r>
          </w:p>
        </w:tc>
        <w:tc>
          <w:tcPr>
            <w:tcW w:type="dxa" w:w="2498"/>
            <w:vAlign w:val="center"/>
          </w:tcPr>
          <w:p>
            <w:r>
              <w:rPr>
                <w:sz w:val="15"/>
              </w:rPr>
            </w:r>
            <w:r>
              <w:rPr>
                <w:sz w:val="15"/>
              </w:rPr>
              <w:t>Must remain distinct from vocalic-R letters.</w:t>
            </w:r>
          </w:p>
        </w:tc>
      </w:tr>
    </w:tbl>
    <w:p>
      <w:pPr>
        <w:spacing w:after="20"/>
      </w:pPr>
    </w:p>
    <w:p>
      <w:r>
        <w:t>Use exact Unicode code points and named orthographic categories in code, specifications, and bug reports. Informal labels such as “Lri” should not collapse ळ, ऌ, and ॡ into one category.</w:t>
      </w:r>
    </w:p>
    <w:p>
      <w:pPr>
        <w:pStyle w:val="Heading1"/>
      </w:pPr>
      <w:r>
        <w:t xml:space="preserve">3. Current Tajziya architecture: verified against public </w:t>
      </w:r>
      <w:r>
        <w:rPr>
          <w:rFonts w:ascii="Consolas" w:hAnsi="Consolas"/>
          <w:sz w:val="17"/>
        </w:rPr>
        <w:t>main</w:t>
      </w:r>
    </w:p>
    <w:p>
      <w:r>
        <w:t xml:space="preserve">Repository reviewed: </w:t>
      </w:r>
      <w:r>
        <w:rPr>
          <w:color w:val="195582"/>
          <w:u w:val="single"/>
        </w:rPr>
        <w:t>zistgah/tajziya</w:t>
      </w:r>
      <w:r>
        <w:t xml:space="preserve">, default branch </w:t>
      </w:r>
      <w:r>
        <w:rPr>
          <w:rFonts w:ascii="Consolas" w:hAnsi="Consolas"/>
          <w:sz w:val="17"/>
        </w:rPr>
        <w:t>main</w:t>
      </w:r>
      <w:r>
        <w:t>, on 14 October 2026. Key sources:</w:t>
      </w:r>
    </w:p>
    <w:p>
      <w:pPr>
        <w:pStyle w:val="ListBullet"/>
        <w:spacing w:after="40"/>
      </w:pPr>
      <w:r>
        <w:rPr>
          <w:color w:val="195582"/>
          <w:u w:val="single"/>
        </w:rPr>
        <w:t>README.md</w:t>
      </w:r>
    </w:p>
    <w:p>
      <w:pPr>
        <w:pStyle w:val="ListBullet"/>
        <w:spacing w:after="40"/>
      </w:pPr>
      <w:r>
        <w:rPr>
          <w:color w:val="195582"/>
          <w:u w:val="single"/>
        </w:rPr>
        <w:t>CONTRACT.md</w:t>
      </w:r>
    </w:p>
    <w:p>
      <w:pPr>
        <w:pStyle w:val="ListBullet"/>
        <w:spacing w:after="40"/>
      </w:pPr>
      <w:r>
        <w:rPr>
          <w:color w:val="195582"/>
          <w:u w:val="single"/>
        </w:rPr>
        <w:t>CONTEXT.md</w:t>
      </w:r>
    </w:p>
    <w:p>
      <w:pPr>
        <w:pStyle w:val="ListBullet"/>
        <w:spacing w:after="40"/>
      </w:pPr>
      <w:r>
        <w:rPr>
          <w:color w:val="195582"/>
          <w:u w:val="single"/>
        </w:rPr>
        <w:t>src/tajziya/romenagri.py</w:t>
      </w:r>
    </w:p>
    <w:p>
      <w:pPr>
        <w:pStyle w:val="ListBullet"/>
        <w:spacing w:after="40"/>
      </w:pPr>
      <w:r>
        <w:rPr>
          <w:color w:val="195582"/>
          <w:u w:val="single"/>
        </w:rPr>
        <w:t>src/tajziya/api.py</w:t>
      </w:r>
    </w:p>
    <w:p>
      <w:pPr>
        <w:pStyle w:val="ListBullet"/>
        <w:spacing w:after="40"/>
      </w:pPr>
      <w:r>
        <w:rPr>
          <w:color w:val="195582"/>
          <w:u w:val="single"/>
        </w:rPr>
        <w:t>modules/cls/python/sanskrit_paninian_v0/__init__.py</w:t>
      </w:r>
    </w:p>
    <w:p>
      <w:pPr>
        <w:pStyle w:val="ListBullet"/>
        <w:spacing w:after="40"/>
      </w:pPr>
      <w:r>
        <w:rPr>
          <w:color w:val="195582"/>
          <w:u w:val="single"/>
        </w:rPr>
        <w:t>modules/cls/module.json</w:t>
      </w:r>
    </w:p>
    <w:p>
      <w:pPr>
        <w:pStyle w:val="ListBullet"/>
        <w:spacing w:after="40"/>
      </w:pPr>
      <w:r>
        <w:rPr>
          <w:color w:val="195582"/>
          <w:u w:val="single"/>
        </w:rPr>
        <w:t>roadmap/packages.json</w:t>
      </w:r>
    </w:p>
    <w:p>
      <w:pPr>
        <w:pStyle w:val="ListBullet"/>
        <w:spacing w:after="40"/>
      </w:pPr>
      <w:r>
        <w:rPr>
          <w:color w:val="195582"/>
          <w:u w:val="single"/>
        </w:rPr>
        <w:t>vendor/romenagri/UPSTREAM.json</w:t>
      </w:r>
    </w:p>
    <w:p>
      <w:pPr>
        <w:pStyle w:val="Heading2"/>
      </w:pPr>
      <w:r>
        <w:t>3.1 Existing native Romenagri layer</w:t>
      </w:r>
    </w:p>
    <w:p>
      <w:r>
        <w:t xml:space="preserve">Tajziya already exposes these functions in </w:t>
      </w:r>
      <w:r>
        <w:rPr>
          <w:rFonts w:ascii="Consolas" w:hAnsi="Consolas"/>
          <w:sz w:val="17"/>
        </w:rPr>
        <w:t>src/tajziya/romenagri.py</w:t>
      </w:r>
      <w:r>
        <w:t>:</w:t>
      </w:r>
    </w:p>
    <w:p>
      <w:pPr>
        <w:pStyle w:val="ListBullet"/>
        <w:spacing w:after="40"/>
      </w:pPr>
      <w:r>
        <w:rPr>
          <w:rFonts w:ascii="Consolas" w:hAnsi="Consolas"/>
          <w:sz w:val="17"/>
        </w:rPr>
        <w:t>roman(text)</w:t>
      </w:r>
      <w:r>
        <w:t xml:space="preserve"> and </w:t>
      </w:r>
      <w:r>
        <w:rPr>
          <w:rFonts w:ascii="Consolas" w:hAnsi="Consolas"/>
          <w:sz w:val="17"/>
        </w:rPr>
        <w:t>roman_lines(lines)</w:t>
      </w:r>
      <w:r>
        <w:t>: Devanagari to Romenagri.</w:t>
      </w:r>
    </w:p>
    <w:p>
      <w:pPr>
        <w:pStyle w:val="ListBullet"/>
        <w:spacing w:after="40"/>
      </w:pPr>
      <w:r>
        <w:rPr>
          <w:rFonts w:ascii="Consolas" w:hAnsi="Consolas"/>
          <w:sz w:val="17"/>
        </w:rPr>
        <w:t>devanagari(text)</w:t>
      </w:r>
      <w:r>
        <w:t xml:space="preserve"> and </w:t>
      </w:r>
      <w:r>
        <w:rPr>
          <w:rFonts w:ascii="Consolas" w:hAnsi="Consolas"/>
          <w:sz w:val="17"/>
        </w:rPr>
        <w:t>devanagari_lines(lines)</w:t>
      </w:r>
      <w:r>
        <w:t>: Romenagri to Devanagari.</w:t>
      </w:r>
    </w:p>
    <w:p>
      <w:pPr>
        <w:pStyle w:val="ListBullet"/>
        <w:spacing w:after="40"/>
      </w:pPr>
      <w:r>
        <w:rPr>
          <w:rFonts w:ascii="Consolas" w:hAnsi="Consolas"/>
          <w:sz w:val="17"/>
        </w:rPr>
        <w:t>acii_lines(lines)</w:t>
      </w:r>
      <w:r>
        <w:t>: Devanagari to the ACII pivot bytes.</w:t>
      </w:r>
    </w:p>
    <w:p>
      <w:pPr>
        <w:pStyle w:val="ListBullet"/>
        <w:spacing w:after="40"/>
      </w:pPr>
      <w:r>
        <w:rPr>
          <w:rFonts w:ascii="Consolas" w:hAnsi="Consolas"/>
          <w:sz w:val="17"/>
        </w:rPr>
        <w:t>build(force=False)</w:t>
      </w:r>
      <w:r>
        <w:t xml:space="preserve">, </w:t>
      </w:r>
      <w:r>
        <w:rPr>
          <w:rFonts w:ascii="Consolas" w:hAnsi="Consolas"/>
          <w:sz w:val="17"/>
        </w:rPr>
        <w:t>available()</w:t>
      </w:r>
      <w:r>
        <w:t xml:space="preserve">, and </w:t>
      </w:r>
      <w:r>
        <w:rPr>
          <w:rFonts w:ascii="Consolas" w:hAnsi="Consolas"/>
          <w:sz w:val="17"/>
        </w:rPr>
        <w:t>missing_tools()</w:t>
      </w:r>
      <w:r>
        <w:t>.</w:t>
      </w:r>
    </w:p>
    <w:p>
      <w:r>
        <w:t xml:space="preserve">The vendored source is declared byte-for-byte from the </w:t>
      </w:r>
      <w:r>
        <w:rPr>
          <w:rFonts w:ascii="Consolas" w:hAnsi="Consolas"/>
          <w:sz w:val="17"/>
        </w:rPr>
        <w:t>Romenagri</w:t>
      </w:r>
      <w:r>
        <w:t xml:space="preserve"> directory of </w:t>
      </w:r>
      <w:r>
        <w:rPr>
          <w:rFonts w:ascii="Consolas" w:hAnsi="Consolas"/>
          <w:sz w:val="17"/>
        </w:rPr>
        <w:t>hindawiai/chintamani</w:t>
      </w:r>
      <w:r>
        <w:t xml:space="preserve">, pinned at commit </w:t>
      </w:r>
      <w:r>
        <w:rPr>
          <w:rFonts w:ascii="Consolas" w:hAnsi="Consolas"/>
          <w:sz w:val="17"/>
        </w:rPr>
        <w:t>3ad87785a75dc2b18438a8b068807103cb920c81</w:t>
      </w:r>
      <w:r>
        <w:t xml:space="preserve">, with licence </w:t>
      </w:r>
      <w:r>
        <w:rPr>
          <w:rFonts w:ascii="Consolas" w:hAnsi="Consolas"/>
          <w:sz w:val="17"/>
        </w:rPr>
        <w:t>GPL-2.0-or-later</w:t>
      </w:r>
      <w:r>
        <w:t xml:space="preserve">. The native build requires </w:t>
      </w:r>
      <w:r>
        <w:rPr>
          <w:rFonts w:ascii="Consolas" w:hAnsi="Consolas"/>
          <w:sz w:val="17"/>
        </w:rPr>
        <w:t>gcc</w:t>
      </w:r>
      <w:r>
        <w:t xml:space="preserve">, </w:t>
      </w:r>
      <w:r>
        <w:rPr>
          <w:rFonts w:ascii="Consolas" w:hAnsi="Consolas"/>
          <w:sz w:val="17"/>
        </w:rPr>
        <w:t>flex</w:t>
      </w:r>
      <w:r>
        <w:t xml:space="preserve">, </w:t>
      </w:r>
      <w:r>
        <w:rPr>
          <w:rFonts w:ascii="Consolas" w:hAnsi="Consolas"/>
          <w:sz w:val="17"/>
        </w:rPr>
        <w:t>make</w:t>
      </w:r>
      <w:r>
        <w:t xml:space="preserve">, and </w:t>
      </w:r>
      <w:r>
        <w:rPr>
          <w:rFonts w:ascii="Consolas" w:hAnsi="Consolas"/>
          <w:sz w:val="17"/>
        </w:rPr>
        <w:t>iconv</w:t>
      </w:r>
      <w:r>
        <w:t xml:space="preserve">. The wrapper invokes the native programs and performs encoding conversion through </w:t>
      </w:r>
      <w:r>
        <w:rPr>
          <w:rFonts w:ascii="Consolas" w:hAnsi="Consolas"/>
          <w:sz w:val="17"/>
        </w:rPr>
        <w:t>iconv</w:t>
      </w:r>
      <w:r>
        <w:t>.</w:t>
      </w:r>
    </w:p>
    <w:p>
      <w:r>
        <w:t>This is the project's canonical pinned Romenagri implementation. The wrapper currently returns strings rather than a structured conversion result with per-character rejection, provenance, or lossiness diagnostics. It also decodes subprocess output with replacement behavior and encodes reverse input as ASCII with replacement. Therefore it must be guarded by a stricter layer for untrusted or unsupported text; do not assume a successful return means lossless conversion.</w:t>
      </w:r>
    </w:p>
    <w:p>
      <w:pPr>
        <w:pStyle w:val="Heading2"/>
      </w:pPr>
      <w:r>
        <w:t>3.2 The current Classical Sanskrit module</w:t>
      </w:r>
    </w:p>
    <w:p>
      <w:r>
        <w:rPr>
          <w:rFonts w:ascii="Consolas" w:hAnsi="Consolas"/>
          <w:sz w:val="17"/>
        </w:rPr>
        <w:t>modules/cls/module.json</w:t>
      </w:r>
      <w:r>
        <w:t xml:space="preserve"> declares:</w:t>
      </w:r>
    </w:p>
    <w:p>
      <w:pPr>
        <w:pStyle w:val="ListBullet"/>
        <w:spacing w:after="40"/>
      </w:pPr>
      <w:r>
        <w:t xml:space="preserve">L0 phonology: </w:t>
      </w:r>
      <w:r>
        <w:rPr>
          <w:rFonts w:ascii="Consolas" w:hAnsi="Consolas"/>
          <w:sz w:val="17"/>
        </w:rPr>
        <w:t>not_built</w:t>
      </w:r>
      <w:r>
        <w:t>.</w:t>
      </w:r>
    </w:p>
    <w:p>
      <w:pPr>
        <w:pStyle w:val="ListBullet"/>
        <w:spacing w:after="40"/>
      </w:pPr>
      <w:r>
        <w:t xml:space="preserve">L1 script pivot: </w:t>
      </w:r>
      <w:r>
        <w:rPr>
          <w:rFonts w:ascii="Consolas" w:hAnsi="Consolas"/>
          <w:sz w:val="17"/>
        </w:rPr>
        <w:t>not_built</w:t>
      </w:r>
      <w:r>
        <w:t>.</w:t>
      </w:r>
    </w:p>
    <w:p>
      <w:pPr>
        <w:pStyle w:val="ListBullet"/>
        <w:spacing w:after="40"/>
      </w:pPr>
      <w:r>
        <w:t xml:space="preserve">L2 orthography: </w:t>
      </w:r>
      <w:r>
        <w:rPr>
          <w:rFonts w:ascii="Consolas" w:hAnsi="Consolas"/>
          <w:sz w:val="17"/>
        </w:rPr>
        <w:t>wired_unproven</w:t>
      </w:r>
      <w:r>
        <w:t>.</w:t>
      </w:r>
    </w:p>
    <w:p>
      <w:pPr>
        <w:pStyle w:val="ListBullet"/>
        <w:spacing w:after="40"/>
      </w:pPr>
      <w:r>
        <w:t xml:space="preserve">L3s segmentation: </w:t>
      </w:r>
      <w:r>
        <w:rPr>
          <w:rFonts w:ascii="Consolas" w:hAnsi="Consolas"/>
          <w:sz w:val="17"/>
        </w:rPr>
        <w:t>built</w:t>
      </w:r>
      <w:r>
        <w:t>.</w:t>
      </w:r>
    </w:p>
    <w:p>
      <w:pPr>
        <w:pStyle w:val="ListBullet"/>
        <w:spacing w:after="40"/>
      </w:pPr>
      <w:r>
        <w:t xml:space="preserve">L3m morphology: </w:t>
      </w:r>
      <w:r>
        <w:rPr>
          <w:rFonts w:ascii="Consolas" w:hAnsi="Consolas"/>
          <w:sz w:val="17"/>
        </w:rPr>
        <w:t>not_built</w:t>
      </w:r>
      <w:r>
        <w:t>.</w:t>
      </w:r>
    </w:p>
    <w:p>
      <w:pPr>
        <w:pStyle w:val="ListBullet"/>
        <w:spacing w:after="40"/>
      </w:pPr>
      <w:r>
        <w:t xml:space="preserve">L4 syntax: </w:t>
      </w:r>
      <w:r>
        <w:rPr>
          <w:rFonts w:ascii="Consolas" w:hAnsi="Consolas"/>
          <w:sz w:val="17"/>
        </w:rPr>
        <w:t>not_built</w:t>
      </w:r>
      <w:r>
        <w:t>.</w:t>
      </w:r>
    </w:p>
    <w:p>
      <w:pPr>
        <w:pStyle w:val="ListBullet"/>
        <w:spacing w:after="40"/>
      </w:pPr>
      <w:r>
        <w:t xml:space="preserve">Accepted input script: </w:t>
      </w:r>
      <w:r>
        <w:rPr>
          <w:rFonts w:ascii="Consolas" w:hAnsi="Consolas"/>
          <w:sz w:val="17"/>
        </w:rPr>
        <w:t>Latn</w:t>
      </w:r>
      <w:r>
        <w:t>.</w:t>
      </w:r>
    </w:p>
    <w:p>
      <w:pPr>
        <w:pStyle w:val="ListBullet"/>
        <w:spacing w:after="40"/>
      </w:pPr>
      <w:r>
        <w:t>Scope exclusions include Devanagari input because the script pivot is not bound.</w:t>
      </w:r>
    </w:p>
    <w:p>
      <w:r>
        <w:t xml:space="preserve">The port's </w:t>
      </w:r>
      <w:r>
        <w:rPr>
          <w:rFonts w:ascii="Consolas" w:hAnsi="Consolas"/>
          <w:sz w:val="17"/>
        </w:rPr>
        <w:t>pivot()</w:t>
      </w:r>
      <w:r>
        <w:t xml:space="preserve"> explicitly refuses Devanagari and names P-SAN-01 and the </w:t>
      </w:r>
      <w:r>
        <w:rPr>
          <w:rFonts w:ascii="Consolas" w:hAnsi="Consolas"/>
          <w:sz w:val="17"/>
        </w:rPr>
        <w:t>abugida</w:t>
      </w:r>
      <w:r>
        <w:t xml:space="preserve"> engine. The existing segmenter is based on IAST-like Latin input; it is not established that native Romenagri output can be passed directly into it. For example, Tajziya documents </w:t>
      </w:r>
      <w:r>
        <w:rPr>
          <w:rFonts w:ascii="Consolas" w:hAnsi="Consolas"/>
          <w:sz w:val="17"/>
        </w:rPr>
        <w:t>roman("वृद्धिरादैच्") → "w_ri_d_dhiraa_daich"</w:t>
      </w:r>
      <w:r>
        <w:t>, which is Romenagri, not IAST.</w:t>
      </w:r>
    </w:p>
    <w:p>
      <w:r>
        <w:t xml:space="preserve">Therefore the required path is not simply “call </w:t>
      </w:r>
      <w:r>
        <w:rPr>
          <w:rFonts w:ascii="Consolas" w:hAnsi="Consolas"/>
          <w:sz w:val="17"/>
        </w:rPr>
        <w:t>roman()</w:t>
      </w:r>
      <w:r>
        <w:t xml:space="preserve"> and feed the output into the parser.” It needs a declared and tested bridge from the Romenagri representation to the segmenter's internal representation, or an explicit change to the parser's internal representation with a documented compatibility contract. Until that bridge is proven, P-SAN-01 must remain open and Devanagari parsing must continue to refuse honestly.</w:t>
      </w:r>
    </w:p>
    <w:p>
      <w:pPr>
        <w:pStyle w:val="Heading2"/>
      </w:pPr>
      <w:r>
        <w:t>3.3 Existing contracts that govern integration</w:t>
      </w:r>
    </w:p>
    <w:p>
      <w:r>
        <w:t>The current Tajziya contract requires:</w:t>
      </w:r>
    </w:p>
    <w:p>
      <w:pPr>
        <w:pStyle w:val="ListBullet"/>
        <w:spacing w:after="40"/>
      </w:pPr>
      <w:r>
        <w:t xml:space="preserve">A language module imports only </w:t>
      </w:r>
      <w:r>
        <w:rPr>
          <w:rFonts w:ascii="Consolas" w:hAnsi="Consolas"/>
          <w:sz w:val="17"/>
        </w:rPr>
        <w:t>tajziya.api</w:t>
      </w:r>
      <w:r>
        <w:t>; the core can change beneath it.</w:t>
      </w:r>
    </w:p>
    <w:p>
      <w:pPr>
        <w:pStyle w:val="ListBullet"/>
        <w:spacing w:after="40"/>
      </w:pPr>
      <w:r>
        <w:t>The registry alone chooses a module binding.</w:t>
      </w:r>
    </w:p>
    <w:p>
      <w:pPr>
        <w:pStyle w:val="ListBullet"/>
        <w:spacing w:after="40"/>
      </w:pPr>
      <w:r>
        <w:t>Unbuilt layers refuse by name and identify their packages/engines; they must not return plausible fabricated analyses.</w:t>
      </w:r>
    </w:p>
    <w:p>
      <w:pPr>
        <w:pStyle w:val="ListBullet"/>
        <w:spacing w:after="40"/>
      </w:pPr>
      <w:r>
        <w:t>Ambiguity is returned whole; no reading is silently selected or truncated.</w:t>
      </w:r>
    </w:p>
    <w:p>
      <w:pPr>
        <w:pStyle w:val="ListBullet"/>
        <w:spacing w:after="40"/>
      </w:pPr>
      <w:r>
        <w:t>Rules and data have source provenance.</w:t>
      </w:r>
    </w:p>
    <w:p>
      <w:pPr>
        <w:pStyle w:val="ListBullet"/>
        <w:spacing w:after="40"/>
      </w:pPr>
      <w:r>
        <w:t>Script, language, and standard are separate axes.</w:t>
      </w:r>
    </w:p>
    <w:p>
      <w:pPr>
        <w:pStyle w:val="ListBullet"/>
        <w:spacing w:after="40"/>
      </w:pPr>
      <w:r>
        <w:t>Modules are accepted using the common acceptance harness.</w:t>
      </w:r>
    </w:p>
    <w:p>
      <w:pPr>
        <w:pStyle w:val="ListBullet"/>
        <w:spacing w:after="40"/>
      </w:pPr>
      <w:r>
        <w:rPr>
          <w:rFonts w:ascii="Consolas" w:hAnsi="Consolas"/>
          <w:sz w:val="17"/>
        </w:rPr>
        <w:t>make check</w:t>
      </w:r>
      <w:r>
        <w:t xml:space="preserve"> is the repository gate (</w:t>
      </w:r>
      <w:r>
        <w:rPr>
          <w:rFonts w:ascii="Consolas" w:hAnsi="Consolas"/>
          <w:sz w:val="17"/>
        </w:rPr>
        <w:t>ops/verify.sh</w:t>
      </w:r>
      <w:r>
        <w:t xml:space="preserve">); </w:t>
      </w:r>
      <w:r>
        <w:rPr>
          <w:rFonts w:ascii="Consolas" w:hAnsi="Consolas"/>
          <w:sz w:val="17"/>
        </w:rPr>
        <w:t>make deps &amp;&amp; make check</w:t>
      </w:r>
      <w:r>
        <w:t xml:space="preserve"> also checks the spine.</w:t>
      </w:r>
    </w:p>
    <w:p>
      <w:pPr>
        <w:pStyle w:val="ListBullet"/>
        <w:spacing w:after="40"/>
      </w:pPr>
      <w:r>
        <w:t>Generated process/quest artifacts and append-only ledgers must be kept consistent where a package requires them.</w:t>
      </w:r>
    </w:p>
    <w:p>
      <w:r>
        <w:t xml:space="preserve">Do not bypass these rules by importing internal Tajziya modules directly from a language module. If the stable API needs a Romenagri/pivot service, expose it deliberately through </w:t>
      </w:r>
      <w:r>
        <w:rPr>
          <w:rFonts w:ascii="Consolas" w:hAnsi="Consolas"/>
          <w:sz w:val="17"/>
        </w:rPr>
        <w:t>tajziya.api</w:t>
      </w:r>
      <w:r>
        <w:t>, with API-version consequences documented.</w:t>
      </w:r>
    </w:p>
    <w:p>
      <w:pPr>
        <w:pStyle w:val="Heading1"/>
      </w:pPr>
      <w:r>
        <w:t>4. Hindavi/Romenagri implementation status and evidence boundaries</w:t>
      </w:r>
    </w:p>
    <w:p>
      <w:r>
        <w:t>The available project history describes several distinct things that must not be collapsed:</w:t>
      </w:r>
    </w:p>
    <w:p>
      <w:pPr>
        <w:pStyle w:val="ListNumber"/>
        <w:spacing w:after="40"/>
      </w:pPr>
      <w:r>
        <w:rPr>
          <w:b/>
        </w:rPr>
        <w:t>Historical native Romenagri:</w:t>
      </w:r>
      <w:r>
        <w:t xml:space="preserve"> C/Flex filters and ACII pipeline, vendored into Tajziya from the pinned Chintamani source.</w:t>
      </w:r>
    </w:p>
    <w:p>
      <w:pPr>
        <w:pStyle w:val="ListNumber"/>
        <w:spacing w:after="40"/>
      </w:pPr>
      <w:r>
        <w:rPr>
          <w:b/>
        </w:rPr>
        <w:t>BUILD-0024 reconstructed Python word-level profile:</w:t>
      </w:r>
      <w:r>
        <w:t xml:space="preserve"> a separate implementation based on Rahnuma 1.3.0, chapter 17, used for corpus conversion and collision audits.</w:t>
      </w:r>
    </w:p>
    <w:p>
      <w:pPr>
        <w:pStyle w:val="ListNumber"/>
        <w:spacing w:after="40"/>
      </w:pPr>
      <w:r>
        <w:rPr>
          <w:b/>
        </w:rPr>
        <w:t>Lossless wrapper:</w:t>
      </w:r>
      <w:r>
        <w:t xml:space="preserve"> an opt-in wrapper that can preserve unsupported Unicode using explicit </w:t>
      </w:r>
      <w:r>
        <w:rPr>
          <w:rFonts w:ascii="Consolas" w:hAnsi="Consolas"/>
          <w:sz w:val="17"/>
        </w:rPr>
        <w:t>~{HEX}</w:t>
      </w:r>
      <w:r>
        <w:t xml:space="preserve"> escapes. Escaping preserves data; it does not mean the escaped character has been transliterated.</w:t>
      </w:r>
    </w:p>
    <w:p>
      <w:pPr>
        <w:pStyle w:val="ListNumber"/>
        <w:spacing w:after="40"/>
      </w:pPr>
      <w:r>
        <w:rPr>
          <w:b/>
        </w:rPr>
        <w:t>Compiler-side adapter:</w:t>
      </w:r>
      <w:r>
        <w:t xml:space="preserve"> a mapping between canonical sound tokens and audited legacy table keys. This is another interface and must not be confused with word-level transliteration.</w:t>
      </w:r>
    </w:p>
    <w:p>
      <w:pPr>
        <w:pStyle w:val="ListNumber"/>
        <w:spacing w:after="40"/>
      </w:pPr>
      <w:r>
        <w:rPr>
          <w:b/>
        </w:rPr>
        <w:t>Other transliteration adapters:</w:t>
      </w:r>
      <w:r>
        <w:t xml:space="preserve"> IAST, Harvard–Kyoto, SLP1, ITRANS, Velthuis, WX, ISO 15919, ISO Vedic, TITUS, Kolkata, Optitrans, and others have their own conventions and collisions. Their outputs are not interchangeable without a scheme identifier.</w:t>
      </w:r>
    </w:p>
    <w:p>
      <w:pPr>
        <w:pStyle w:val="Heading2"/>
      </w:pPr>
      <w:r>
        <w:t>Evidence already recorded in BUILD-0024</w:t>
      </w:r>
    </w:p>
    <w:p>
      <w:pPr>
        <w:pStyle w:val="ListBullet"/>
        <w:spacing w:after="40"/>
      </w:pPr>
      <w:r>
        <w:t xml:space="preserve">Full available repository suite reported </w:t>
      </w:r>
      <w:r>
        <w:rPr>
          <w:rFonts w:ascii="Consolas" w:hAnsi="Consolas"/>
          <w:sz w:val="17"/>
        </w:rPr>
        <w:t>ALL AVAILABLE TESTS PASSED</w:t>
      </w:r>
      <w:r>
        <w:t xml:space="preserve"> in the BUILD-0024 working tree.</w:t>
      </w:r>
    </w:p>
    <w:p>
      <w:pPr>
        <w:pStyle w:val="ListBullet"/>
        <w:spacing w:after="40"/>
      </w:pPr>
      <w:r>
        <w:t>Python discovery: 56 tests, 55 passed, one skipped due unavailable Cologne MW lexicon and prior RV artifacts.</w:t>
      </w:r>
    </w:p>
    <w:p>
      <w:pPr>
        <w:pStyle w:val="ListBullet"/>
        <w:spacing w:after="40"/>
      </w:pPr>
      <w:r>
        <w:t>Collision audit regression tests: 10 passed.</w:t>
      </w:r>
    </w:p>
    <w:p>
      <w:pPr>
        <w:pStyle w:val="ListBullet"/>
        <w:spacing w:after="40"/>
      </w:pPr>
      <w:r>
        <w:t>Unicode inventory sweep passed.</w:t>
      </w:r>
    </w:p>
    <w:p>
      <w:pPr>
        <w:pStyle w:val="ListBullet"/>
        <w:spacing w:after="40"/>
      </w:pPr>
      <w:r>
        <w:t>Native C core direct-function probes passed.</w:t>
      </w:r>
    </w:p>
    <w:p>
      <w:pPr>
        <w:pStyle w:val="ListBullet"/>
        <w:spacing w:after="40"/>
      </w:pPr>
      <w:r>
        <w:t xml:space="preserve">Romenagri attested fixtures: 13/13 expected outputs matched; 12/13 round trips were identical. The known non-identical fixture involved </w:t>
      </w:r>
      <w:r>
        <w:rPr>
          <w:rFonts w:ascii="Consolas" w:hAnsi="Consolas"/>
          <w:sz w:val="17"/>
        </w:rPr>
        <w:t>ज्ञाान</w:t>
      </w:r>
      <w:r>
        <w:t xml:space="preserve">: encoding </w:t>
      </w:r>
      <w:r>
        <w:rPr>
          <w:rFonts w:ascii="Consolas" w:hAnsi="Consolas"/>
          <w:sz w:val="17"/>
        </w:rPr>
        <w:t>j_ynaana</w:t>
      </w:r>
      <w:r>
        <w:t xml:space="preserve">, decoding </w:t>
      </w:r>
      <w:r>
        <w:rPr>
          <w:rFonts w:ascii="Consolas" w:hAnsi="Consolas"/>
          <w:sz w:val="17"/>
        </w:rPr>
        <w:t>ज्ञान</w:t>
      </w:r>
      <w:r>
        <w:t>.</w:t>
      </w:r>
    </w:p>
    <w:p>
      <w:pPr>
        <w:pStyle w:val="ListBullet"/>
        <w:spacing w:after="40"/>
      </w:pPr>
      <w:r>
        <w:t>Python compiler rule-IR parity passed across 3,983 records.</w:t>
      </w:r>
    </w:p>
    <w:p>
      <w:pPr>
        <w:pStyle w:val="ListBullet"/>
        <w:spacing w:after="40"/>
      </w:pPr>
      <w:r>
        <w:t>Hindawi C/C++ keyword-table integrity: 68 profiles, zero failures.</w:t>
      </w:r>
    </w:p>
    <w:p>
      <w:pPr>
        <w:pStyle w:val="ListBullet"/>
        <w:spacing w:after="40"/>
      </w:pPr>
      <w:r>
        <w:t>Static-page checks: 29 HTML files checked; 12 HTTP URLs returned 200.</w:t>
      </w:r>
    </w:p>
    <w:p>
      <w:pPr>
        <w:pStyle w:val="ListBullet"/>
        <w:spacing w:after="40"/>
      </w:pPr>
      <w:r>
        <w:t xml:space="preserve">Full Flex-generated native filter build remained unverified because </w:t>
      </w:r>
      <w:r>
        <w:rPr>
          <w:rFonts w:ascii="Consolas" w:hAnsi="Consolas"/>
          <w:sz w:val="17"/>
        </w:rPr>
        <w:t>flex</w:t>
      </w:r>
      <w:r>
        <w:t xml:space="preserve"> was unavailable in that environment; Rust compilation remained unverified because </w:t>
      </w:r>
      <w:r>
        <w:rPr>
          <w:rFonts w:ascii="Consolas" w:hAnsi="Consolas"/>
          <w:sz w:val="17"/>
        </w:rPr>
        <w:t>rustc</w:t>
      </w:r>
      <w:r>
        <w:t xml:space="preserve"> was unavailable.</w:t>
      </w:r>
    </w:p>
    <w:p>
      <w:pPr>
        <w:pStyle w:val="ListBullet"/>
        <w:spacing w:after="40"/>
      </w:pPr>
      <w:r>
        <w:t xml:space="preserve">The native core probes showed a meaningful compatibility boundary: native </w:t>
      </w:r>
      <w:r>
        <w:rPr>
          <w:rFonts w:ascii="Consolas" w:hAnsi="Consolas"/>
          <w:sz w:val="17"/>
        </w:rPr>
        <w:t xml:space="preserve">k </w:t>
      </w:r>
      <w:r>
        <w:t xml:space="preserve"> round-tripped to </w:t>
      </w:r>
      <w:r>
        <w:rPr>
          <w:rFonts w:ascii="Consolas" w:hAnsi="Consolas"/>
          <w:sz w:val="17"/>
        </w:rPr>
        <w:t xml:space="preserve">ka </w:t>
      </w:r>
      <w:r>
        <w:t xml:space="preserve">, while </w:t>
      </w:r>
      <w:r>
        <w:rPr>
          <w:rFonts w:ascii="Consolas" w:hAnsi="Consolas"/>
          <w:sz w:val="17"/>
        </w:rPr>
        <w:t xml:space="preserve">k^ </w:t>
      </w:r>
      <w:r>
        <w:t xml:space="preserve"> round-tripped to </w:t>
      </w:r>
      <w:r>
        <w:rPr>
          <w:rFonts w:ascii="Consolas" w:hAnsi="Consolas"/>
          <w:sz w:val="17"/>
        </w:rPr>
        <w:t xml:space="preserve">k </w:t>
      </w:r>
      <w:r>
        <w:t xml:space="preserve">. Native examples such as </w:t>
      </w:r>
      <w:r>
        <w:rPr>
          <w:rFonts w:ascii="Consolas" w:hAnsi="Consolas"/>
          <w:sz w:val="17"/>
        </w:rPr>
        <w:t>chaee_t</w:t>
      </w:r>
      <w:r>
        <w:t xml:space="preserve">, </w:t>
      </w:r>
      <w:r>
        <w:rPr>
          <w:rFonts w:ascii="Consolas" w:hAnsi="Consolas"/>
          <w:sz w:val="17"/>
        </w:rPr>
        <w:t>sarwam</w:t>
      </w:r>
      <w:r>
        <w:t xml:space="preserve">, </w:t>
      </w:r>
      <w:r>
        <w:rPr>
          <w:rFonts w:ascii="Consolas" w:hAnsi="Consolas"/>
          <w:sz w:val="17"/>
        </w:rPr>
        <w:t>paapam</w:t>
      </w:r>
      <w:r>
        <w:t xml:space="preserve">, and </w:t>
      </w:r>
      <w:r>
        <w:rPr>
          <w:rFonts w:ascii="Consolas" w:hAnsi="Consolas"/>
          <w:sz w:val="17"/>
        </w:rPr>
        <w:t>_u_d_dhara_nnam</w:t>
      </w:r>
      <w:r>
        <w:t xml:space="preserve"> acquired a final </w:t>
      </w:r>
      <w:r>
        <w:rPr>
          <w:rFonts w:ascii="Consolas" w:hAnsi="Consolas"/>
          <w:sz w:val="17"/>
        </w:rPr>
        <w:t>a</w:t>
      </w:r>
      <w:r>
        <w:t xml:space="preserve"> after the forward/reverse pair. This is evidence of a profile/direction boundary, not proof that the historical decoder simply strips virāma.</w:t>
      </w:r>
    </w:p>
    <w:p>
      <w:pPr>
        <w:pStyle w:val="ListBullet"/>
        <w:spacing w:after="40"/>
      </w:pPr>
      <w:r>
        <w:t xml:space="preserve">ACII byte </w:t>
      </w:r>
      <w:r>
        <w:rPr>
          <w:rFonts w:ascii="Consolas" w:hAnsi="Consolas"/>
          <w:sz w:val="17"/>
        </w:rPr>
        <w:t>0xEB</w:t>
      </w:r>
      <w:r>
        <w:t xml:space="preserve"> decoded to </w:t>
      </w:r>
      <w:r>
        <w:rPr>
          <w:rFonts w:ascii="Consolas" w:hAnsi="Consolas"/>
          <w:sz w:val="17"/>
        </w:rPr>
        <w:t>_3</w:t>
      </w:r>
      <w:r>
        <w:t xml:space="preserve">, while feeding </w:t>
      </w:r>
      <w:r>
        <w:rPr>
          <w:rFonts w:ascii="Consolas" w:hAnsi="Consolas"/>
          <w:sz w:val="17"/>
        </w:rPr>
        <w:t>_3</w:t>
      </w:r>
      <w:r>
        <w:t xml:space="preserve"> to the reverse parser produced </w:t>
      </w:r>
      <w:r>
        <w:rPr>
          <w:rFonts w:ascii="Consolas" w:hAnsi="Consolas"/>
          <w:sz w:val="17"/>
        </w:rPr>
        <w:t xml:space="preserve">3 </w:t>
      </w:r>
      <w:r>
        <w:t>; this remains a separate case for explicit contract and regression testing.</w:t>
      </w:r>
    </w:p>
    <w:p>
      <w:r>
        <w:t xml:space="preserve">The BUILD-0024 adversarial collision suite covered 36 curated cases across 12 schemes, with 1,020 input/scheme evaluations and 3,708 code-point/scheme records. It found that scheme identity and normalization matter: examples include </w:t>
      </w:r>
      <w:r>
        <w:rPr>
          <w:rFonts w:ascii="Consolas" w:hAnsi="Consolas"/>
          <w:sz w:val="17"/>
        </w:rPr>
        <w:t>za</w:t>
      </w:r>
      <w:r>
        <w:t xml:space="preserve"> meaning different Devanagari outputs under HK and SLP1, case loss destroying SLP1 distinctions, diacritic stripping destroying IAST distinctions, underscore stripping destroying Romenagri distinctions, and numeral normalization merging Devanagari </w:t>
      </w:r>
      <w:r>
        <w:rPr>
          <w:rFonts w:ascii="Consolas" w:hAnsi="Consolas"/>
          <w:sz w:val="17"/>
        </w:rPr>
        <w:t>५</w:t>
      </w:r>
      <w:r>
        <w:t xml:space="preserve"> with ASCII </w:t>
      </w:r>
      <w:r>
        <w:rPr>
          <w:rFonts w:ascii="Consolas" w:hAnsi="Consolas"/>
          <w:sz w:val="17"/>
        </w:rPr>
        <w:t>5</w:t>
      </w:r>
      <w:r>
        <w:t>. These tests are adversarial, not a representative corpus accuracy benchmark.</w:t>
      </w:r>
    </w:p>
    <w:p>
      <w:r>
        <w:rPr>
          <w:b/>
        </w:rPr>
        <w:t>Integration rule:</w:t>
      </w:r>
      <w:r>
        <w:t xml:space="preserve"> carry these tests into Tajziya as evidence fixtures and regression tests, but do not copy the reconstructed Python profile over the pinned native implementation. First establish an explicit compatibility matrix.</w:t>
      </w:r>
    </w:p>
    <w:p>
      <w:pPr>
        <w:pStyle w:val="Heading1"/>
      </w:pPr>
      <w:r>
        <w:t>5. BUILD-0027 conversion audit: current corrected snapshot</w:t>
      </w:r>
    </w:p>
    <w:p>
      <w:pPr>
        <w:pStyle w:val="Heading2"/>
      </w:pPr>
      <w:r>
        <w:t>5.1 Baselines and hashes</w:t>
      </w:r>
    </w:p>
    <w:p>
      <w:r>
        <w:t>Actual archive hashes measured for the files available in this session:</w:t>
      </w:r>
    </w:p>
    <w:p>
      <w:pPr>
        <w:pStyle w:val="ListBullet"/>
        <w:spacing w:after="40"/>
      </w:pPr>
      <w:r>
        <w:t xml:space="preserve">BUILD-0025: </w:t>
      </w:r>
      <w:r>
        <w:rPr>
          <w:rFonts w:ascii="Consolas" w:hAnsi="Consolas"/>
          <w:sz w:val="17"/>
        </w:rPr>
        <w:t>4f158697bcd891053a21b1a9ecebf33f7d5261a7a0de53e553330f05d22f3c25</w:t>
      </w:r>
    </w:p>
    <w:p>
      <w:pPr>
        <w:pStyle w:val="ListBullet"/>
        <w:spacing w:after="40"/>
      </w:pPr>
      <w:r>
        <w:t xml:space="preserve">BUILD-0026: </w:t>
      </w:r>
      <w:r>
        <w:rPr>
          <w:rFonts w:ascii="Consolas" w:hAnsi="Consolas"/>
          <w:sz w:val="17"/>
        </w:rPr>
        <w:t>64bf96b15f8459b0ee6bf0326e8df656a67dab87c8e65e383e286cbdcc048ea5</w:t>
      </w:r>
    </w:p>
    <w:p>
      <w:pPr>
        <w:pStyle w:val="ListBullet"/>
        <w:spacing w:after="40"/>
      </w:pPr>
      <w:r>
        <w:t xml:space="preserve">BUILD-0027-RESULTS.zip: </w:t>
      </w:r>
      <w:r>
        <w:rPr>
          <w:rFonts w:ascii="Consolas" w:hAnsi="Consolas"/>
          <w:sz w:val="17"/>
        </w:rPr>
        <w:t>fa53c87b160a482f282dc9b0d646825365c2f1e686a30fda3efe522cab825958</w:t>
      </w:r>
    </w:p>
    <w:p>
      <w:pPr>
        <w:pStyle w:val="ListBullet"/>
        <w:spacing w:after="40"/>
      </w:pPr>
      <w:r>
        <w:t xml:space="preserve">BUILD-0027-CORRECTION.zip: </w:t>
      </w:r>
      <w:r>
        <w:rPr>
          <w:rFonts w:ascii="Consolas" w:hAnsi="Consolas"/>
          <w:sz w:val="17"/>
        </w:rPr>
        <w:t>15f6229f55f081e2fa0e52acc85fdb7fb7c50e1dd23b6a82db5382f61b61fd06</w:t>
      </w:r>
    </w:p>
    <w:p>
      <w:r>
        <w:t>BUILD-0025, BUILD-0026, and the original BUILD-0027 results are reported as preserved. This document does not alter those archives.</w:t>
      </w:r>
    </w:p>
    <w:p>
      <w:pPr>
        <w:pStyle w:val="Heading2"/>
      </w:pPr>
      <w:r>
        <w:t>5.2 MW inventory accounting</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7E5EF"/>
          </w:tcPr>
          <w:p>
            <w:r>
              <w:rPr>
                <w:b/>
                <w:sz w:val="15"/>
              </w:rPr>
            </w:r>
            <w:r>
              <w:rPr>
                <w:b/>
                <w:sz w:val="15"/>
              </w:rPr>
              <w:t>Measure</w:t>
            </w:r>
          </w:p>
        </w:tc>
        <w:tc>
          <w:tcPr>
            <w:tcW w:type="dxa" w:w="3331"/>
            <w:shd w:fill="D7E5EF"/>
          </w:tcPr>
          <w:p>
            <w:r>
              <w:rPr>
                <w:b/>
                <w:sz w:val="15"/>
              </w:rPr>
            </w:r>
            <w:r>
              <w:rPr>
                <w:b/>
                <w:sz w:val="15"/>
              </w:rPr>
              <w:t>Count</w:t>
            </w:r>
          </w:p>
        </w:tc>
        <w:tc>
          <w:tcPr>
            <w:tcW w:type="dxa" w:w="3331"/>
            <w:shd w:fill="D7E5EF"/>
          </w:tcPr>
          <w:p>
            <w:r>
              <w:rPr>
                <w:b/>
                <w:sz w:val="15"/>
              </w:rPr>
            </w:r>
            <w:r>
              <w:rPr>
                <w:b/>
                <w:sz w:val="15"/>
              </w:rPr>
              <w:t>Interpretation</w:t>
            </w:r>
          </w:p>
        </w:tc>
      </w:tr>
      <w:tr>
        <w:tc>
          <w:tcPr>
            <w:tcW w:type="dxa" w:w="3331"/>
            <w:vAlign w:val="center"/>
          </w:tcPr>
          <w:p>
            <w:r>
              <w:rPr>
                <w:sz w:val="15"/>
              </w:rPr>
            </w:r>
            <w:r>
              <w:rPr>
                <w:sz w:val="15"/>
              </w:rPr>
              <w:t>Original MW source records</w:t>
            </w:r>
          </w:p>
        </w:tc>
        <w:tc>
          <w:tcPr>
            <w:tcW w:type="dxa" w:w="3331"/>
            <w:vAlign w:val="center"/>
          </w:tcPr>
          <w:p>
            <w:r>
              <w:rPr>
                <w:sz w:val="15"/>
              </w:rPr>
            </w:r>
            <w:r>
              <w:rPr>
                <w:sz w:val="15"/>
              </w:rPr>
              <w:t>287,432</w:t>
            </w:r>
          </w:p>
        </w:tc>
        <w:tc>
          <w:tcPr>
            <w:tcW w:type="dxa" w:w="3331"/>
            <w:vAlign w:val="center"/>
          </w:tcPr>
          <w:p>
            <w:r>
              <w:rPr>
                <w:sz w:val="15"/>
              </w:rPr>
            </w:r>
            <w:r>
              <w:rPr>
                <w:sz w:val="15"/>
              </w:rPr>
              <w:t xml:space="preserve">MW k1 inventory derived from </w:t>
            </w:r>
            <w:r>
              <w:rPr>
                <w:rFonts w:ascii="Consolas" w:hAnsi="Consolas"/>
                <w:sz w:val="15"/>
              </w:rPr>
              <w:t>mwxml.zip</w:t>
            </w:r>
            <w:r>
              <w:rPr>
                <w:sz w:val="15"/>
              </w:rPr>
              <w:t>, per the source note.</w:t>
            </w:r>
          </w:p>
        </w:tc>
      </w:tr>
      <w:tr>
        <w:tc>
          <w:tcPr>
            <w:tcW w:type="dxa" w:w="3331"/>
            <w:vAlign w:val="center"/>
          </w:tcPr>
          <w:p>
            <w:r>
              <w:rPr>
                <w:sz w:val="15"/>
              </w:rPr>
            </w:r>
            <w:r>
              <w:rPr>
                <w:sz w:val="15"/>
              </w:rPr>
              <w:t>Fully converted records</w:t>
            </w:r>
          </w:p>
        </w:tc>
        <w:tc>
          <w:tcPr>
            <w:tcW w:type="dxa" w:w="3331"/>
            <w:vAlign w:val="center"/>
          </w:tcPr>
          <w:p>
            <w:r>
              <w:rPr>
                <w:sz w:val="15"/>
              </w:rPr>
            </w:r>
            <w:r>
              <w:rPr>
                <w:sz w:val="15"/>
              </w:rPr>
              <w:t>287,312</w:t>
            </w:r>
          </w:p>
        </w:tc>
        <w:tc>
          <w:tcPr>
            <w:tcW w:type="dxa" w:w="3331"/>
            <w:vAlign w:val="center"/>
          </w:tcPr>
          <w:p>
            <w:r>
              <w:rPr>
                <w:sz w:val="15"/>
              </w:rPr>
            </w:r>
            <w:r>
              <w:rPr>
                <w:sz w:val="15"/>
              </w:rPr>
              <w:t>Records included in converted inventory.</w:t>
            </w:r>
          </w:p>
        </w:tc>
      </w:tr>
      <w:tr>
        <w:tc>
          <w:tcPr>
            <w:tcW w:type="dxa" w:w="3331"/>
            <w:vAlign w:val="center"/>
          </w:tcPr>
          <w:p>
            <w:r>
              <w:rPr>
                <w:sz w:val="15"/>
              </w:rPr>
            </w:r>
            <w:r>
              <w:rPr>
                <w:sz w:val="15"/>
              </w:rPr>
              <w:t>Rejected records</w:t>
            </w:r>
          </w:p>
        </w:tc>
        <w:tc>
          <w:tcPr>
            <w:tcW w:type="dxa" w:w="3331"/>
            <w:vAlign w:val="center"/>
          </w:tcPr>
          <w:p>
            <w:r>
              <w:rPr>
                <w:sz w:val="15"/>
              </w:rPr>
            </w:r>
            <w:r>
              <w:rPr>
                <w:sz w:val="15"/>
              </w:rPr>
              <w:t>120</w:t>
            </w:r>
          </w:p>
        </w:tc>
        <w:tc>
          <w:tcPr>
            <w:tcW w:type="dxa" w:w="3331"/>
            <w:vAlign w:val="center"/>
          </w:tcPr>
          <w:p>
            <w:r>
              <w:rPr>
                <w:sz w:val="15"/>
              </w:rPr>
            </w:r>
            <w:r>
              <w:rPr>
                <w:sz w:val="15"/>
              </w:rPr>
              <w:t>Unsupported Devanagari code points after SLP1 → Devanagari.</w:t>
            </w:r>
          </w:p>
        </w:tc>
      </w:tr>
      <w:tr>
        <w:tc>
          <w:tcPr>
            <w:tcW w:type="dxa" w:w="3331"/>
            <w:vAlign w:val="center"/>
          </w:tcPr>
          <w:p>
            <w:r>
              <w:rPr>
                <w:sz w:val="15"/>
              </w:rPr>
            </w:r>
            <w:r>
              <w:rPr>
                <w:sz w:val="15"/>
              </w:rPr>
              <w:t>Unaccounted source records</w:t>
            </w:r>
          </w:p>
        </w:tc>
        <w:tc>
          <w:tcPr>
            <w:tcW w:type="dxa" w:w="3331"/>
            <w:vAlign w:val="center"/>
          </w:tcPr>
          <w:p>
            <w:r>
              <w:rPr>
                <w:sz w:val="15"/>
              </w:rPr>
            </w:r>
            <w:r>
              <w:rPr>
                <w:sz w:val="15"/>
              </w:rPr>
              <w:t>0</w:t>
            </w:r>
          </w:p>
        </w:tc>
        <w:tc>
          <w:tcPr>
            <w:tcW w:type="dxa" w:w="3331"/>
            <w:vAlign w:val="center"/>
          </w:tcPr>
          <w:p>
            <w:r>
              <w:rPr>
                <w:sz w:val="15"/>
              </w:rPr>
            </w:r>
            <w:r>
              <w:rPr>
                <w:sz w:val="15"/>
              </w:rPr>
              <w:t>Every source record has a recorded disposition.</w:t>
            </w:r>
          </w:p>
        </w:tc>
      </w:tr>
      <w:tr>
        <w:tc>
          <w:tcPr>
            <w:tcW w:type="dxa" w:w="3331"/>
            <w:vAlign w:val="center"/>
          </w:tcPr>
          <w:p>
            <w:r>
              <w:rPr>
                <w:sz w:val="15"/>
              </w:rPr>
            </w:r>
            <w:r>
              <w:rPr>
                <w:sz w:val="15"/>
              </w:rPr>
              <w:t>Distinct SLP1 forms colliding among retained converted records</w:t>
            </w:r>
          </w:p>
        </w:tc>
        <w:tc>
          <w:tcPr>
            <w:tcW w:type="dxa" w:w="3331"/>
            <w:vAlign w:val="center"/>
          </w:tcPr>
          <w:p>
            <w:r>
              <w:rPr>
                <w:sz w:val="15"/>
              </w:rPr>
            </w:r>
            <w:r>
              <w:rPr>
                <w:sz w:val="15"/>
              </w:rPr>
              <w:t>0 reported</w:t>
            </w:r>
          </w:p>
        </w:tc>
        <w:tc>
          <w:tcPr>
            <w:tcW w:type="dxa" w:w="3331"/>
            <w:vAlign w:val="center"/>
          </w:tcPr>
          <w:p>
            <w:r>
              <w:rPr>
                <w:sz w:val="15"/>
              </w:rPr>
            </w:r>
            <w:r>
              <w:rPr>
                <w:sz w:val="15"/>
              </w:rPr>
              <w:t>No collision observed in this comparison; not a universal collision-freedom claim.</w:t>
            </w:r>
          </w:p>
        </w:tc>
      </w:tr>
    </w:tbl>
    <w:p>
      <w:pPr>
        <w:spacing w:after="20"/>
      </w:pP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7E5EF"/>
          </w:tcPr>
          <w:p>
            <w:r>
              <w:rPr>
                <w:b/>
                <w:sz w:val="15"/>
              </w:rPr>
            </w:r>
            <w:r>
              <w:rPr>
                <w:b/>
                <w:sz w:val="15"/>
              </w:rPr>
              <w:t>Rejected character</w:t>
            </w:r>
          </w:p>
        </w:tc>
        <w:tc>
          <w:tcPr>
            <w:tcW w:type="dxa" w:w="3331"/>
            <w:shd w:fill="D7E5EF"/>
          </w:tcPr>
          <w:p>
            <w:r>
              <w:rPr>
                <w:b/>
                <w:sz w:val="15"/>
              </w:rPr>
            </w:r>
            <w:r>
              <w:rPr>
                <w:b/>
                <w:sz w:val="15"/>
              </w:rPr>
              <w:t>Unicode</w:t>
            </w:r>
          </w:p>
        </w:tc>
        <w:tc>
          <w:tcPr>
            <w:tcW w:type="dxa" w:w="3331"/>
            <w:shd w:fill="D7E5EF"/>
          </w:tcPr>
          <w:p>
            <w:r>
              <w:rPr>
                <w:b/>
                <w:sz w:val="15"/>
              </w:rPr>
            </w:r>
            <w:r>
              <w:rPr>
                <w:b/>
                <w:sz w:val="15"/>
              </w:rPr>
              <w:t>Record count</w:t>
            </w:r>
          </w:p>
        </w:tc>
      </w:tr>
      <w:tr>
        <w:tc>
          <w:tcPr>
            <w:tcW w:type="dxa" w:w="3331"/>
            <w:vAlign w:val="center"/>
          </w:tcPr>
          <w:p>
            <w:r>
              <w:rPr>
                <w:sz w:val="15"/>
              </w:rPr>
            </w:r>
            <w:r>
              <w:rPr>
                <w:sz w:val="15"/>
              </w:rPr>
              <w:t>ळ</w:t>
            </w:r>
          </w:p>
        </w:tc>
        <w:tc>
          <w:tcPr>
            <w:tcW w:type="dxa" w:w="3331"/>
            <w:vAlign w:val="center"/>
          </w:tcPr>
          <w:p>
            <w:r>
              <w:rPr>
                <w:sz w:val="15"/>
              </w:rPr>
            </w:r>
            <w:r>
              <w:rPr>
                <w:sz w:val="15"/>
              </w:rPr>
              <w:t>U+0933</w:t>
            </w:r>
          </w:p>
        </w:tc>
        <w:tc>
          <w:tcPr>
            <w:tcW w:type="dxa" w:w="3331"/>
            <w:vAlign w:val="center"/>
          </w:tcPr>
          <w:p>
            <w:r>
              <w:rPr>
                <w:sz w:val="15"/>
              </w:rPr>
            </w:r>
            <w:r>
              <w:rPr>
                <w:sz w:val="15"/>
              </w:rPr>
              <w:t>92</w:t>
            </w:r>
          </w:p>
        </w:tc>
      </w:tr>
      <w:tr>
        <w:tc>
          <w:tcPr>
            <w:tcW w:type="dxa" w:w="3331"/>
            <w:vAlign w:val="center"/>
          </w:tcPr>
          <w:p>
            <w:r>
              <w:rPr>
                <w:sz w:val="15"/>
              </w:rPr>
            </w:r>
            <w:r>
              <w:rPr>
                <w:sz w:val="15"/>
              </w:rPr>
              <w:t>ॠ</w:t>
            </w:r>
          </w:p>
        </w:tc>
        <w:tc>
          <w:tcPr>
            <w:tcW w:type="dxa" w:w="3331"/>
            <w:vAlign w:val="center"/>
          </w:tcPr>
          <w:p>
            <w:r>
              <w:rPr>
                <w:sz w:val="15"/>
              </w:rPr>
            </w:r>
            <w:r>
              <w:rPr>
                <w:sz w:val="15"/>
              </w:rPr>
              <w:t>U+0960</w:t>
            </w:r>
          </w:p>
        </w:tc>
        <w:tc>
          <w:tcPr>
            <w:tcW w:type="dxa" w:w="3331"/>
            <w:vAlign w:val="center"/>
          </w:tcPr>
          <w:p>
            <w:r>
              <w:rPr>
                <w:sz w:val="15"/>
              </w:rPr>
            </w:r>
            <w:r>
              <w:rPr>
                <w:sz w:val="15"/>
              </w:rPr>
              <w:t>14</w:t>
            </w:r>
          </w:p>
        </w:tc>
      </w:tr>
      <w:tr>
        <w:tc>
          <w:tcPr>
            <w:tcW w:type="dxa" w:w="3331"/>
            <w:vAlign w:val="center"/>
          </w:tcPr>
          <w:p>
            <w:r>
              <w:rPr>
                <w:sz w:val="15"/>
              </w:rPr>
            </w:r>
            <w:r>
              <w:rPr>
                <w:sz w:val="15"/>
              </w:rPr>
              <w:t>ॡ</w:t>
            </w:r>
          </w:p>
        </w:tc>
        <w:tc>
          <w:tcPr>
            <w:tcW w:type="dxa" w:w="3331"/>
            <w:vAlign w:val="center"/>
          </w:tcPr>
          <w:p>
            <w:r>
              <w:rPr>
                <w:sz w:val="15"/>
              </w:rPr>
            </w:r>
            <w:r>
              <w:rPr>
                <w:sz w:val="15"/>
              </w:rPr>
              <w:t>U+0961</w:t>
            </w:r>
          </w:p>
        </w:tc>
        <w:tc>
          <w:tcPr>
            <w:tcW w:type="dxa" w:w="3331"/>
            <w:vAlign w:val="center"/>
          </w:tcPr>
          <w:p>
            <w:r>
              <w:rPr>
                <w:sz w:val="15"/>
              </w:rPr>
            </w:r>
            <w:r>
              <w:rPr>
                <w:sz w:val="15"/>
              </w:rPr>
              <w:t>8</w:t>
            </w:r>
          </w:p>
        </w:tc>
      </w:tr>
      <w:tr>
        <w:tc>
          <w:tcPr>
            <w:tcW w:type="dxa" w:w="3331"/>
            <w:vAlign w:val="center"/>
          </w:tcPr>
          <w:p>
            <w:r>
              <w:rPr>
                <w:sz w:val="15"/>
              </w:rPr>
            </w:r>
            <w:r>
              <w:rPr>
                <w:sz w:val="15"/>
              </w:rPr>
              <w:t>ऌ</w:t>
            </w:r>
          </w:p>
        </w:tc>
        <w:tc>
          <w:tcPr>
            <w:tcW w:type="dxa" w:w="3331"/>
            <w:vAlign w:val="center"/>
          </w:tcPr>
          <w:p>
            <w:r>
              <w:rPr>
                <w:sz w:val="15"/>
              </w:rPr>
            </w:r>
            <w:r>
              <w:rPr>
                <w:sz w:val="15"/>
              </w:rPr>
              <w:t>U+090C</w:t>
            </w:r>
          </w:p>
        </w:tc>
        <w:tc>
          <w:tcPr>
            <w:tcW w:type="dxa" w:w="3331"/>
            <w:vAlign w:val="center"/>
          </w:tcPr>
          <w:p>
            <w:r>
              <w:rPr>
                <w:sz w:val="15"/>
              </w:rPr>
            </w:r>
            <w:r>
              <w:rPr>
                <w:sz w:val="15"/>
              </w:rPr>
              <w:t>6</w:t>
            </w:r>
          </w:p>
        </w:tc>
      </w:tr>
      <w:tr>
        <w:tc>
          <w:tcPr>
            <w:tcW w:type="dxa" w:w="3331"/>
            <w:vAlign w:val="center"/>
          </w:tcPr>
          <w:p>
            <w:r>
              <w:rPr>
                <w:sz w:val="15"/>
              </w:rPr>
            </w:r>
            <w:r>
              <w:rPr>
                <w:b/>
                <w:sz w:val="15"/>
              </w:rPr>
              <w:t>Total</w:t>
            </w:r>
          </w:p>
        </w:tc>
        <w:tc>
          <w:tcPr>
            <w:tcW w:type="dxa" w:w="3331"/>
            <w:vAlign w:val="center"/>
          </w:tcPr>
          <w:p>
            <w:r>
              <w:rPr>
                <w:sz w:val="15"/>
              </w:rPr>
            </w:r>
            <w:r>
              <w:rPr>
                <w:sz w:val="15"/>
              </w:rPr>
              <w:t>—</w:t>
            </w:r>
          </w:p>
        </w:tc>
        <w:tc>
          <w:tcPr>
            <w:tcW w:type="dxa" w:w="3331"/>
            <w:vAlign w:val="center"/>
          </w:tcPr>
          <w:p>
            <w:r>
              <w:rPr>
                <w:sz w:val="15"/>
              </w:rPr>
            </w:r>
            <w:r>
              <w:rPr>
                <w:b/>
                <w:sz w:val="15"/>
              </w:rPr>
              <w:t>120</w:t>
            </w:r>
          </w:p>
        </w:tc>
      </w:tr>
    </w:tbl>
    <w:p>
      <w:pPr>
        <w:spacing w:after="20"/>
      </w:pPr>
    </w:p>
    <w:p>
      <w:r>
        <w:t>The accounting is internally consistent and was independently checked against the source and converted inventories in the available archives. It establishes complete accounting of the conversion attempt, not complete conversion of the MW corpus.</w:t>
      </w:r>
    </w:p>
    <w:p>
      <w:pPr>
        <w:pStyle w:val="Heading2"/>
      </w:pPr>
      <w:r>
        <w:t xml:space="preserve">5.3 RV 1.1 accounting after the </w:t>
      </w:r>
      <w:r>
        <w:rPr>
          <w:rFonts w:ascii="Consolas" w:hAnsi="Consolas"/>
          <w:sz w:val="17"/>
        </w:rPr>
        <w:t>īḷe</w:t>
      </w:r>
      <w:r>
        <w:t xml:space="preserve"> correction</w:t>
      </w:r>
    </w:p>
    <w:p>
      <w:r>
        <w:t>The RV sample contains five verses and 47 word occurrences.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7E5EF"/>
          </w:tcPr>
          <w:p>
            <w:r>
              <w:rPr>
                <w:b/>
                <w:sz w:val="15"/>
              </w:rPr>
            </w:r>
            <w:r>
              <w:rPr>
                <w:b/>
                <w:sz w:val="15"/>
              </w:rPr>
              <w:t>Disposition</w:t>
            </w:r>
          </w:p>
        </w:tc>
        <w:tc>
          <w:tcPr>
            <w:tcW w:type="dxa" w:w="3331"/>
            <w:shd w:fill="D7E5EF"/>
          </w:tcPr>
          <w:p>
            <w:r>
              <w:rPr>
                <w:b/>
                <w:sz w:val="15"/>
              </w:rPr>
            </w:r>
            <w:r>
              <w:rPr>
                <w:b/>
                <w:sz w:val="15"/>
              </w:rPr>
              <w:t>Count</w:t>
            </w:r>
          </w:p>
        </w:tc>
        <w:tc>
          <w:tcPr>
            <w:tcW w:type="dxa" w:w="3331"/>
            <w:shd w:fill="D7E5EF"/>
          </w:tcPr>
          <w:p>
            <w:r>
              <w:rPr>
                <w:b/>
                <w:sz w:val="15"/>
              </w:rPr>
            </w:r>
            <w:r>
              <w:rPr>
                <w:b/>
                <w:sz w:val="15"/>
              </w:rPr>
              <w:t>Interpretation</w:t>
            </w:r>
          </w:p>
        </w:tc>
      </w:tr>
      <w:tr>
        <w:tc>
          <w:tcPr>
            <w:tcW w:type="dxa" w:w="3331"/>
            <w:vAlign w:val="center"/>
          </w:tcPr>
          <w:p>
            <w:r>
              <w:rPr>
                <w:sz w:val="15"/>
              </w:rPr>
            </w:r>
            <w:r>
              <w:rPr>
                <w:sz w:val="15"/>
              </w:rPr>
              <w:t>Fully converted</w:t>
            </w:r>
          </w:p>
        </w:tc>
        <w:tc>
          <w:tcPr>
            <w:tcW w:type="dxa" w:w="3331"/>
            <w:vAlign w:val="center"/>
          </w:tcPr>
          <w:p>
            <w:r>
              <w:rPr>
                <w:sz w:val="15"/>
              </w:rPr>
            </w:r>
            <w:r>
              <w:rPr>
                <w:sz w:val="15"/>
              </w:rPr>
              <w:t>38</w:t>
            </w:r>
          </w:p>
        </w:tc>
        <w:tc>
          <w:tcPr>
            <w:tcW w:type="dxa" w:w="3331"/>
            <w:vAlign w:val="center"/>
          </w:tcPr>
          <w:p>
            <w:r>
              <w:rPr>
                <w:sz w:val="15"/>
              </w:rPr>
            </w:r>
            <w:r>
              <w:rPr>
                <w:sz w:val="15"/>
              </w:rPr>
              <w:t xml:space="preserve">Includes </w:t>
            </w:r>
            <w:r>
              <w:rPr>
                <w:rFonts w:ascii="Consolas" w:hAnsi="Consolas"/>
                <w:sz w:val="15"/>
              </w:rPr>
              <w:t>rayim</w:t>
            </w:r>
            <w:r>
              <w:rPr>
                <w:sz w:val="15"/>
              </w:rPr>
              <w:t xml:space="preserve"> and </w:t>
            </w:r>
            <w:r>
              <w:rPr>
                <w:rFonts w:ascii="Consolas" w:hAnsi="Consolas"/>
                <w:sz w:val="15"/>
              </w:rPr>
              <w:t>yam</w:t>
            </w:r>
            <w:r>
              <w:rPr>
                <w:sz w:val="15"/>
              </w:rPr>
              <w:t>; both have Devanagari intermediates and a final output equal to the source spelling.</w:t>
            </w:r>
          </w:p>
        </w:tc>
      </w:tr>
      <w:tr>
        <w:tc>
          <w:tcPr>
            <w:tcW w:type="dxa" w:w="3331"/>
            <w:vAlign w:val="center"/>
          </w:tcPr>
          <w:p>
            <w:r>
              <w:rPr>
                <w:sz w:val="15"/>
              </w:rPr>
            </w:r>
            <w:r>
              <w:rPr>
                <w:sz w:val="15"/>
              </w:rPr>
              <w:t>Rejected and retained as IAST</w:t>
            </w:r>
          </w:p>
        </w:tc>
        <w:tc>
          <w:tcPr>
            <w:tcW w:type="dxa" w:w="3331"/>
            <w:vAlign w:val="center"/>
          </w:tcPr>
          <w:p>
            <w:r>
              <w:rPr>
                <w:sz w:val="15"/>
              </w:rPr>
            </w:r>
            <w:r>
              <w:rPr>
                <w:sz w:val="15"/>
              </w:rPr>
              <w:t>9</w:t>
            </w:r>
          </w:p>
        </w:tc>
        <w:tc>
          <w:tcPr>
            <w:tcW w:type="dxa" w:w="3331"/>
            <w:vAlign w:val="center"/>
          </w:tcPr>
          <w:p>
            <w:r>
              <w:rPr>
                <w:sz w:val="15"/>
              </w:rPr>
            </w:r>
            <w:r>
              <w:rPr>
                <w:sz w:val="15"/>
              </w:rPr>
              <w:t xml:space="preserve">Eight hyphenated forms and </w:t>
            </w:r>
            <w:r>
              <w:rPr>
                <w:rFonts w:ascii="Consolas" w:hAnsi="Consolas"/>
                <w:sz w:val="15"/>
              </w:rPr>
              <w:t>īḷe</w:t>
            </w:r>
            <w:r>
              <w:rPr>
                <w:sz w:val="15"/>
              </w:rPr>
              <w:t>, rejected because the native/reconstructed encoder does not support the encountered character or hyphen.</w:t>
            </w:r>
          </w:p>
        </w:tc>
      </w:tr>
      <w:tr>
        <w:tc>
          <w:tcPr>
            <w:tcW w:type="dxa" w:w="3331"/>
            <w:vAlign w:val="center"/>
          </w:tcPr>
          <w:p>
            <w:r>
              <w:rPr>
                <w:sz w:val="15"/>
              </w:rPr>
            </w:r>
            <w:r>
              <w:rPr>
                <w:sz w:val="15"/>
              </w:rPr>
              <w:t>Discarded</w:t>
            </w:r>
          </w:p>
        </w:tc>
        <w:tc>
          <w:tcPr>
            <w:tcW w:type="dxa" w:w="3331"/>
            <w:vAlign w:val="center"/>
          </w:tcPr>
          <w:p>
            <w:r>
              <w:rPr>
                <w:sz w:val="15"/>
              </w:rPr>
            </w:r>
            <w:r>
              <w:rPr>
                <w:sz w:val="15"/>
              </w:rPr>
              <w:t>0 reported</w:t>
            </w:r>
          </w:p>
        </w:tc>
        <w:tc>
          <w:tcPr>
            <w:tcW w:type="dxa" w:w="3331"/>
            <w:vAlign w:val="center"/>
          </w:tcPr>
          <w:p>
            <w:r>
              <w:rPr>
                <w:sz w:val="15"/>
              </w:rPr>
            </w:r>
            <w:r>
              <w:rPr>
                <w:sz w:val="15"/>
              </w:rPr>
              <w:t>Rejected forms remain in the experiment corpus as source IAST.</w:t>
            </w:r>
          </w:p>
        </w:tc>
      </w:tr>
      <w:tr>
        <w:tc>
          <w:tcPr>
            <w:tcW w:type="dxa" w:w="3331"/>
            <w:vAlign w:val="center"/>
          </w:tcPr>
          <w:p>
            <w:r>
              <w:rPr>
                <w:sz w:val="15"/>
              </w:rPr>
            </w:r>
            <w:r>
              <w:rPr>
                <w:b/>
                <w:sz w:val="15"/>
              </w:rPr>
              <w:t>Total</w:t>
            </w:r>
          </w:p>
        </w:tc>
        <w:tc>
          <w:tcPr>
            <w:tcW w:type="dxa" w:w="3331"/>
            <w:vAlign w:val="center"/>
          </w:tcPr>
          <w:p>
            <w:r>
              <w:rPr>
                <w:sz w:val="15"/>
              </w:rPr>
            </w:r>
            <w:r>
              <w:rPr>
                <w:b/>
                <w:sz w:val="15"/>
              </w:rPr>
              <w:t>47</w:t>
            </w:r>
          </w:p>
        </w:tc>
        <w:tc>
          <w:tcPr>
            <w:tcW w:type="dxa" w:w="3331"/>
            <w:vAlign w:val="center"/>
          </w:tcPr>
          <w:p>
            <w:r>
              <w:rPr>
                <w:sz w:val="15"/>
              </w:rPr>
            </w:r>
            <w:r>
              <w:rPr>
                <w:sz w:val="15"/>
              </w:rPr>
              <w:t>All occurrences accounted for.</w:t>
            </w:r>
          </w:p>
        </w:tc>
      </w:tr>
    </w:tbl>
    <w:p>
      <w:pPr>
        <w:spacing w:after="20"/>
      </w:pPr>
    </w:p>
    <w:p>
      <w:r>
        <w:t xml:space="preserve">The correction report confirms that </w:t>
      </w:r>
      <w:r>
        <w:rPr>
          <w:rFonts w:ascii="Consolas" w:hAnsi="Consolas"/>
          <w:sz w:val="17"/>
        </w:rPr>
        <w:t>indic_transliteration</w:t>
      </w:r>
      <w:r>
        <w:t xml:space="preserve"> mapped IAST </w:t>
      </w:r>
      <w:r>
        <w:rPr>
          <w:rFonts w:ascii="Consolas" w:hAnsi="Consolas"/>
          <w:sz w:val="17"/>
        </w:rPr>
        <w:t>ḷ</w:t>
      </w:r>
      <w:r>
        <w:t xml:space="preserve"> to independent vowel </w:t>
      </w:r>
      <w:r>
        <w:rPr>
          <w:rFonts w:ascii="Consolas" w:hAnsi="Consolas"/>
          <w:sz w:val="17"/>
        </w:rPr>
        <w:t>ऌ</w:t>
      </w:r>
      <w:r>
        <w:t xml:space="preserve">, giving the erroneous intermediate </w:t>
      </w:r>
      <w:r>
        <w:rPr>
          <w:rFonts w:ascii="Consolas" w:hAnsi="Consolas"/>
          <w:sz w:val="17"/>
        </w:rPr>
        <w:t>ईऌए</w:t>
      </w:r>
      <w:r>
        <w:t xml:space="preserve">. The correction function now yields </w:t>
      </w:r>
      <w:r>
        <w:rPr>
          <w:rFonts w:ascii="Consolas" w:hAnsi="Consolas"/>
          <w:sz w:val="17"/>
        </w:rPr>
        <w:t>ईळे</w:t>
      </w:r>
      <w:r>
        <w:t xml:space="preserve"> for </w:t>
      </w:r>
      <w:r>
        <w:rPr>
          <w:rFonts w:ascii="Consolas" w:hAnsi="Consolas"/>
          <w:sz w:val="17"/>
        </w:rPr>
        <w:t>īḷe</w:t>
      </w:r>
      <w:r>
        <w:t xml:space="preserve">. The Romenagri encoder still rejects </w:t>
      </w:r>
      <w:r>
        <w:rPr>
          <w:rFonts w:ascii="Consolas" w:hAnsi="Consolas"/>
          <w:sz w:val="17"/>
        </w:rPr>
        <w:t>ळ</w:t>
      </w:r>
      <w:r>
        <w:t xml:space="preserve"> (U+0933), so the word is retained as IAST. This is the correct distinction between an upstream conversion defect and a downstream inventory limitation.</w:t>
      </w:r>
    </w:p>
    <w:p>
      <w:r>
        <w:rPr>
          <w:b/>
        </w:rPr>
        <w:t>Potential scope risk:</w:t>
      </w:r>
      <w:r>
        <w:t xml:space="preserve"> </w:t>
      </w:r>
      <w:r>
        <w:rPr>
          <w:rFonts w:ascii="Consolas" w:hAnsi="Consolas"/>
          <w:sz w:val="17"/>
        </w:rPr>
        <w:t>scripts/conversion/iast_devanagari.py</w:t>
      </w:r>
      <w:r>
        <w:t xml:space="preserve"> applies global replacements of output sequences such as </w:t>
      </w:r>
      <w:r>
        <w:rPr>
          <w:rFonts w:ascii="Consolas" w:hAnsi="Consolas"/>
          <w:sz w:val="17"/>
        </w:rPr>
        <w:t>ऌए</w:t>
      </w:r>
      <w:r>
        <w:t xml:space="preserve"> → </w:t>
      </w:r>
      <w:r>
        <w:rPr>
          <w:rFonts w:ascii="Consolas" w:hAnsi="Consolas"/>
          <w:sz w:val="17"/>
        </w:rPr>
        <w:t>ळे</w:t>
      </w:r>
      <w:r>
        <w:t xml:space="preserve">. The test </w:t>
      </w:r>
      <w:r>
        <w:rPr>
          <w:rFonts w:ascii="Consolas" w:hAnsi="Consolas"/>
          <w:sz w:val="17"/>
        </w:rPr>
        <w:t>īḷe</w:t>
      </w:r>
      <w:r>
        <w:t xml:space="preserve"> is a positive case, but genuine vocalic-L forms are needed as negative cases. A source-aware/context-aware correction is safer than an unrestricted output-string replacement. Do not expand Romenagri to include </w:t>
      </w:r>
      <w:r>
        <w:rPr>
          <w:rFonts w:ascii="Consolas" w:hAnsi="Consolas"/>
          <w:sz w:val="17"/>
        </w:rPr>
        <w:t>ळ</w:t>
      </w:r>
      <w:r>
        <w:t xml:space="preserve"> as part of this correction unless separately specified and tested.</w:t>
      </w:r>
    </w:p>
    <w:p>
      <w:r>
        <w:t xml:space="preserve">The original BUILD-0027 audit summary still says 36 full, nine rejected, two unchanged. The corrected RV CSV and correction report classify </w:t>
      </w:r>
      <w:r>
        <w:rPr>
          <w:rFonts w:ascii="Consolas" w:hAnsi="Consolas"/>
          <w:sz w:val="17"/>
        </w:rPr>
        <w:t>rayim</w:t>
      </w:r>
      <w:r>
        <w:t xml:space="preserve"> and </w:t>
      </w:r>
      <w:r>
        <w:rPr>
          <w:rFonts w:ascii="Consolas" w:hAnsi="Consolas"/>
          <w:sz w:val="17"/>
        </w:rPr>
        <w:t>yam</w:t>
      </w:r>
      <w:r>
        <w:t xml:space="preserve"> as full, giving 38 full and nine rejected. These values reconcile if “unchanged” meant only that the final Latin spelling equals the source, not that conversion was skipped. The final project report and generated statistics should use one consistent taxonomy.</w:t>
      </w:r>
    </w:p>
    <w:p>
      <w:pPr>
        <w:pStyle w:val="Heading2"/>
      </w:pPr>
      <w:r>
        <w:t>5.4 Nirgundi experiment</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7E5EF"/>
          </w:tcPr>
          <w:p>
            <w:r>
              <w:rPr>
                <w:b/>
                <w:sz w:val="15"/>
              </w:rPr>
            </w:r>
            <w:r>
              <w:rPr>
                <w:b/>
                <w:sz w:val="15"/>
              </w:rPr>
              <w:t>Metric</w:t>
            </w:r>
          </w:p>
        </w:tc>
        <w:tc>
          <w:tcPr>
            <w:tcW w:type="dxa" w:w="3331"/>
            <w:shd w:fill="D7E5EF"/>
          </w:tcPr>
          <w:p>
            <w:r>
              <w:rPr>
                <w:b/>
                <w:sz w:val="15"/>
              </w:rPr>
            </w:r>
            <w:r>
              <w:rPr>
                <w:b/>
                <w:sz w:val="15"/>
              </w:rPr>
              <w:t>Corrected reported value</w:t>
            </w:r>
          </w:p>
        </w:tc>
        <w:tc>
          <w:tcPr>
            <w:tcW w:type="dxa" w:w="3331"/>
            <w:shd w:fill="D7E5EF"/>
          </w:tcPr>
          <w:p>
            <w:r>
              <w:rPr>
                <w:b/>
                <w:sz w:val="15"/>
              </w:rPr>
            </w:r>
            <w:r>
              <w:rPr>
                <w:b/>
                <w:sz w:val="15"/>
              </w:rPr>
              <w:t>Definition</w:t>
            </w:r>
          </w:p>
        </w:tc>
      </w:tr>
      <w:tr>
        <w:tc>
          <w:tcPr>
            <w:tcW w:type="dxa" w:w="3331"/>
            <w:vAlign w:val="center"/>
          </w:tcPr>
          <w:p>
            <w:r>
              <w:rPr>
                <w:sz w:val="15"/>
              </w:rPr>
            </w:r>
            <w:r>
              <w:rPr>
                <w:sz w:val="15"/>
              </w:rPr>
              <w:t>Exact-token match occurrences</w:t>
            </w:r>
          </w:p>
        </w:tc>
        <w:tc>
          <w:tcPr>
            <w:tcW w:type="dxa" w:w="3331"/>
            <w:vAlign w:val="center"/>
          </w:tcPr>
          <w:p>
            <w:r>
              <w:rPr>
                <w:sz w:val="15"/>
              </w:rPr>
            </w:r>
            <w:r>
              <w:rPr>
                <w:sz w:val="15"/>
              </w:rPr>
              <w:t>10</w:t>
            </w:r>
          </w:p>
        </w:tc>
        <w:tc>
          <w:tcPr>
            <w:tcW w:type="dxa" w:w="3331"/>
            <w:vAlign w:val="center"/>
          </w:tcPr>
          <w:p>
            <w:r>
              <w:rPr>
                <w:sz w:val="15"/>
              </w:rPr>
            </w:r>
            <w:r>
              <w:rPr>
                <w:sz w:val="15"/>
              </w:rPr>
              <w:t>Whitespace-delimited surface-token matches.</w:t>
            </w:r>
          </w:p>
        </w:tc>
      </w:tr>
      <w:tr>
        <w:tc>
          <w:tcPr>
            <w:tcW w:type="dxa" w:w="3331"/>
            <w:vAlign w:val="center"/>
          </w:tcPr>
          <w:p>
            <w:r>
              <w:rPr>
                <w:sz w:val="15"/>
              </w:rPr>
            </w:r>
            <w:r>
              <w:rPr>
                <w:sz w:val="15"/>
              </w:rPr>
              <w:t>Distinct matched MW inventory IDs</w:t>
            </w:r>
          </w:p>
        </w:tc>
        <w:tc>
          <w:tcPr>
            <w:tcW w:type="dxa" w:w="3331"/>
            <w:vAlign w:val="center"/>
          </w:tcPr>
          <w:p>
            <w:r>
              <w:rPr>
                <w:sz w:val="15"/>
              </w:rPr>
            </w:r>
            <w:r>
              <w:rPr>
                <w:sz w:val="15"/>
              </w:rPr>
              <w:t>9</w:t>
            </w:r>
          </w:p>
        </w:tc>
        <w:tc>
          <w:tcPr>
            <w:tcW w:type="dxa" w:w="3331"/>
            <w:vAlign w:val="center"/>
          </w:tcPr>
          <w:p>
            <w:r>
              <w:rPr>
                <w:sz w:val="15"/>
              </w:rPr>
            </w:r>
            <w:r>
              <w:rPr>
                <w:rFonts w:ascii="Consolas" w:hAnsi="Consolas"/>
                <w:sz w:val="15"/>
              </w:rPr>
              <w:t>_aa</w:t>
            </w:r>
            <w:r>
              <w:rPr>
                <w:sz w:val="15"/>
              </w:rPr>
              <w:t xml:space="preserve"> matches twice and contributes two occurrences but one ID.</w:t>
            </w:r>
          </w:p>
        </w:tc>
      </w:tr>
      <w:tr>
        <w:tc>
          <w:tcPr>
            <w:tcW w:type="dxa" w:w="3331"/>
            <w:vAlign w:val="center"/>
          </w:tcPr>
          <w:p>
            <w:r>
              <w:rPr>
                <w:sz w:val="15"/>
              </w:rPr>
            </w:r>
            <w:r>
              <w:rPr>
                <w:sz w:val="15"/>
              </w:rPr>
              <w:t>Matched code points</w:t>
            </w:r>
          </w:p>
        </w:tc>
        <w:tc>
          <w:tcPr>
            <w:tcW w:type="dxa" w:w="3331"/>
            <w:vAlign w:val="center"/>
          </w:tcPr>
          <w:p>
            <w:r>
              <w:rPr>
                <w:sz w:val="15"/>
              </w:rPr>
            </w:r>
            <w:r>
              <w:rPr>
                <w:sz w:val="15"/>
              </w:rPr>
              <w:t>50</w:t>
            </w:r>
          </w:p>
        </w:tc>
        <w:tc>
          <w:tcPr>
            <w:tcW w:type="dxa" w:w="3331"/>
            <w:vAlign w:val="center"/>
          </w:tcPr>
          <w:p>
            <w:r>
              <w:rPr>
                <w:sz w:val="15"/>
              </w:rPr>
            </w:r>
            <w:r>
              <w:rPr>
                <w:sz w:val="15"/>
              </w:rPr>
              <w:t xml:space="preserve">Sum of </w:t>
            </w:r>
            <w:r>
              <w:rPr>
                <w:rFonts w:ascii="Consolas" w:hAnsi="Consolas"/>
                <w:sz w:val="15"/>
              </w:rPr>
              <w:t>(end - start)</w:t>
            </w:r>
            <w:r>
              <w:rPr>
                <w:sz w:val="15"/>
              </w:rPr>
              <w:t xml:space="preserve"> across the occurrence ledger.</w:t>
            </w:r>
          </w:p>
        </w:tc>
      </w:tr>
      <w:tr>
        <w:tc>
          <w:tcPr>
            <w:tcW w:type="dxa" w:w="3331"/>
            <w:vAlign w:val="center"/>
          </w:tcPr>
          <w:p>
            <w:r>
              <w:rPr>
                <w:sz w:val="15"/>
              </w:rPr>
            </w:r>
            <w:r>
              <w:rPr>
                <w:sz w:val="15"/>
              </w:rPr>
              <w:t>Concatenated corpus code points</w:t>
            </w:r>
          </w:p>
        </w:tc>
        <w:tc>
          <w:tcPr>
            <w:tcW w:type="dxa" w:w="3331"/>
            <w:vAlign w:val="center"/>
          </w:tcPr>
          <w:p>
            <w:r>
              <w:rPr>
                <w:sz w:val="15"/>
              </w:rPr>
            </w:r>
            <w:r>
              <w:rPr>
                <w:sz w:val="15"/>
              </w:rPr>
              <w:t>436</w:t>
            </w:r>
          </w:p>
        </w:tc>
        <w:tc>
          <w:tcPr>
            <w:tcW w:type="dxa" w:w="3331"/>
            <w:vAlign w:val="center"/>
          </w:tcPr>
          <w:p>
            <w:r>
              <w:rPr>
                <w:sz w:val="15"/>
              </w:rPr>
            </w:r>
            <w:r>
              <w:rPr>
                <w:sz w:val="15"/>
              </w:rPr>
              <w:t>Code-point count under the current converted-input representation.</w:t>
            </w:r>
          </w:p>
        </w:tc>
      </w:tr>
      <w:tr>
        <w:tc>
          <w:tcPr>
            <w:tcW w:type="dxa" w:w="3331"/>
            <w:vAlign w:val="center"/>
          </w:tcPr>
          <w:p>
            <w:r>
              <w:rPr>
                <w:sz w:val="15"/>
              </w:rPr>
            </w:r>
            <w:r>
              <w:rPr>
                <w:sz w:val="15"/>
              </w:rPr>
              <w:t>RV word occurrences</w:t>
            </w:r>
          </w:p>
        </w:tc>
        <w:tc>
          <w:tcPr>
            <w:tcW w:type="dxa" w:w="3331"/>
            <w:vAlign w:val="center"/>
          </w:tcPr>
          <w:p>
            <w:r>
              <w:rPr>
                <w:sz w:val="15"/>
              </w:rPr>
            </w:r>
            <w:r>
              <w:rPr>
                <w:sz w:val="15"/>
              </w:rPr>
              <w:t>47</w:t>
            </w:r>
          </w:p>
        </w:tc>
        <w:tc>
          <w:tcPr>
            <w:tcW w:type="dxa" w:w="3331"/>
            <w:vAlign w:val="center"/>
          </w:tcPr>
          <w:p>
            <w:r>
              <w:rPr>
                <w:sz w:val="15"/>
              </w:rPr>
            </w:r>
            <w:r>
              <w:rPr>
                <w:sz w:val="15"/>
              </w:rPr>
              <w:t>Five-verse sample.</w:t>
            </w:r>
          </w:p>
        </w:tc>
      </w:tr>
      <w:tr>
        <w:tc>
          <w:tcPr>
            <w:tcW w:type="dxa" w:w="3331"/>
            <w:vAlign w:val="center"/>
          </w:tcPr>
          <w:p>
            <w:r>
              <w:rPr>
                <w:sz w:val="15"/>
              </w:rPr>
            </w:r>
            <w:r>
              <w:rPr>
                <w:sz w:val="15"/>
              </w:rPr>
              <w:t>Exact-token rate</w:t>
            </w:r>
          </w:p>
        </w:tc>
        <w:tc>
          <w:tcPr>
            <w:tcW w:type="dxa" w:w="3331"/>
            <w:vAlign w:val="center"/>
          </w:tcPr>
          <w:p>
            <w:r>
              <w:rPr>
                <w:sz w:val="15"/>
              </w:rPr>
            </w:r>
            <w:r>
              <w:rPr>
                <w:sz w:val="15"/>
              </w:rPr>
              <w:t>10/47 = 21.28%</w:t>
            </w:r>
          </w:p>
        </w:tc>
        <w:tc>
          <w:tcPr>
            <w:tcW w:type="dxa" w:w="3331"/>
            <w:vAlign w:val="center"/>
          </w:tcPr>
          <w:p>
            <w:r>
              <w:rPr>
                <w:sz w:val="15"/>
              </w:rPr>
            </w:r>
            <w:r>
              <w:rPr>
                <w:sz w:val="15"/>
              </w:rPr>
              <w:t>Sample-only surface-token rate.</w:t>
            </w:r>
          </w:p>
        </w:tc>
      </w:tr>
      <w:tr>
        <w:tc>
          <w:tcPr>
            <w:tcW w:type="dxa" w:w="3331"/>
            <w:vAlign w:val="center"/>
          </w:tcPr>
          <w:p>
            <w:r>
              <w:rPr>
                <w:sz w:val="15"/>
              </w:rPr>
            </w:r>
            <w:r>
              <w:rPr>
                <w:sz w:val="15"/>
              </w:rPr>
              <w:t>Code-point ratio</w:t>
            </w:r>
          </w:p>
        </w:tc>
        <w:tc>
          <w:tcPr>
            <w:tcW w:type="dxa" w:w="3331"/>
            <w:vAlign w:val="center"/>
          </w:tcPr>
          <w:p>
            <w:r>
              <w:rPr>
                <w:sz w:val="15"/>
              </w:rPr>
            </w:r>
            <w:r>
              <w:rPr>
                <w:sz w:val="15"/>
              </w:rPr>
              <w:t>50/436 = 11.47%</w:t>
            </w:r>
          </w:p>
        </w:tc>
        <w:tc>
          <w:tcPr>
            <w:tcW w:type="dxa" w:w="3331"/>
            <w:vAlign w:val="center"/>
          </w:tcPr>
          <w:p>
            <w:r>
              <w:rPr>
                <w:sz w:val="15"/>
              </w:rPr>
            </w:r>
            <w:r>
              <w:rPr>
                <w:sz w:val="15"/>
              </w:rPr>
              <w:t>Representation-specific ratio; not lexical coverage.</w:t>
            </w:r>
          </w:p>
        </w:tc>
      </w:tr>
    </w:tbl>
    <w:p>
      <w:pPr>
        <w:spacing w:after="20"/>
      </w:pPr>
    </w:p>
    <w:p>
      <w:r>
        <w:t>The corrected report says all ten matches occur on fully converted tokens and none involves a token retained as IAST. That is a useful stratification result, but the occurrence-level ledger should explicitly carry conversion disposition to make the claim independently auditable.</w:t>
      </w:r>
    </w:p>
    <w:p>
      <w:r>
        <w:t>The pre-conversion denominator was 341 code points in IAST; the post-conversion denominator is 436 code points in the Romenagri-labelled representation. The denominators differ, and some rejected words are retained as IAST. The before/after percentages are not a controlled comparison of lexical coverage.</w:t>
      </w:r>
    </w:p>
    <w:p>
      <w:r>
        <w:t>Nirgundi matches exact surface tokens. It does not resolve inflection, perform morphology, reverse sandhi, split compounds, or interpret semantics. MW headwords are citation forms, while RV forms are inflected and context-specific. Low literal matching is therefore an expected limitation of this baseline, not a measurement of the overall capability of a future Tajziya parser.</w:t>
      </w:r>
    </w:p>
    <w:p>
      <w:pPr>
        <w:pStyle w:val="Heading2"/>
      </w:pPr>
      <w:r>
        <w:t>5.5 What is still incomplete in the correction package</w:t>
      </w:r>
    </w:p>
    <w:p>
      <w:r>
        <w:t>The correction archive reports:</w:t>
      </w:r>
    </w:p>
    <w:p>
      <w:pPr>
        <w:pStyle w:val="ListBullet"/>
        <w:spacing w:after="40"/>
      </w:pPr>
      <w:r>
        <w:rPr>
          <w:rFonts w:ascii="Consolas" w:hAnsi="Consolas"/>
          <w:sz w:val="17"/>
        </w:rPr>
        <w:t>python3 -m unittest tests.test_nirgundi_experiment -v</w:t>
      </w:r>
      <w:r>
        <w:t>: 2 passed.</w:t>
      </w:r>
    </w:p>
    <w:p>
      <w:pPr>
        <w:pStyle w:val="ListBullet"/>
        <w:spacing w:after="40"/>
      </w:pPr>
      <w:r>
        <w:t xml:space="preserve">Direct </w:t>
      </w:r>
      <w:r>
        <w:rPr>
          <w:rFonts w:ascii="Consolas" w:hAnsi="Consolas"/>
          <w:sz w:val="17"/>
        </w:rPr>
        <w:t>īḷe</w:t>
      </w:r>
      <w:r>
        <w:t xml:space="preserve"> conversion check: passed (</w:t>
      </w:r>
      <w:r>
        <w:rPr>
          <w:rFonts w:ascii="Consolas" w:hAnsi="Consolas"/>
          <w:sz w:val="17"/>
        </w:rPr>
        <w:t>ईळे</w:t>
      </w:r>
      <w:r>
        <w:t>).</w:t>
      </w:r>
    </w:p>
    <w:p>
      <w:pPr>
        <w:pStyle w:val="ListBullet"/>
        <w:spacing w:after="40"/>
      </w:pPr>
      <w:r>
        <w:t>Experiment regeneration command: exit 0.</w:t>
      </w:r>
    </w:p>
    <w:p>
      <w:pPr>
        <w:pStyle w:val="ListBullet"/>
        <w:spacing w:after="40"/>
      </w:pPr>
      <w:r>
        <w:t>No skipped or blocked tests in that correction run.</w:t>
      </w:r>
    </w:p>
    <w:p>
      <w:r>
        <w:t xml:space="preserve">The available correction archive includes the correction script and audit/report files, but it does not include the regenerated </w:t>
      </w:r>
      <w:r>
        <w:rPr>
          <w:rFonts w:ascii="Consolas" w:hAnsi="Consolas"/>
          <w:sz w:val="17"/>
        </w:rPr>
        <w:t>data/corpus_rv_1.1_romenagri.json</w:t>
      </w:r>
      <w:r>
        <w:t xml:space="preserve"> or the complete experiment output directory (statistics, manifest, residual, transformed corpus, and other generated artifacts). The conversion log refers to the corpus-generation code as “inline Python” without including the complete program. Thus the run is reported and partially supported by the regenerated audit, but it cannot be fully replayed from the correction ZIP alone.</w:t>
      </w:r>
    </w:p>
    <w:p>
      <w:r>
        <w:t>Other audit-package issues:</w:t>
      </w:r>
    </w:p>
    <w:p>
      <w:pPr>
        <w:pStyle w:val="ListBullet"/>
        <w:spacing w:after="40"/>
      </w:pPr>
      <w:r>
        <w:rPr>
          <w:rFonts w:ascii="Consolas" w:hAnsi="Consolas"/>
          <w:sz w:val="17"/>
        </w:rPr>
        <w:t>BUILD-0027_AUDIT_REPORT.md</w:t>
      </w:r>
      <w:r>
        <w:t xml:space="preserve"> retains stale RV summary values (36 full, 9 rejected, 2 unchanged) rather than the corrected 38 full, 9 rejected taxonomy.</w:t>
      </w:r>
    </w:p>
    <w:p>
      <w:pPr>
        <w:pStyle w:val="ListBullet"/>
        <w:spacing w:after="40"/>
      </w:pPr>
      <w:r>
        <w:rPr>
          <w:rFonts w:ascii="Consolas" w:hAnsi="Consolas"/>
          <w:sz w:val="17"/>
        </w:rPr>
        <w:t>BUILD-0027_MATCH_RESULTS.csv</w:t>
      </w:r>
      <w:r>
        <w:t xml:space="preserve"> is JSON Lines, not CSV, and has ten rows for ten occurrences but nine unique inventory IDs. Rename to </w:t>
      </w:r>
      <w:r>
        <w:rPr>
          <w:rFonts w:ascii="Consolas" w:hAnsi="Consolas"/>
          <w:sz w:val="17"/>
        </w:rPr>
        <w:t>.jsonl</w:t>
      </w:r>
      <w:r>
        <w:t xml:space="preserve"> or emit a true CSV with header and explicit occurrence identifiers.</w:t>
      </w:r>
    </w:p>
    <w:p>
      <w:pPr>
        <w:pStyle w:val="ListBullet"/>
        <w:spacing w:after="40"/>
      </w:pPr>
      <w:r>
        <w:t xml:space="preserve">Nine of ten match occurrences are not the issue; the ledger does contain ten entries, with </w:t>
      </w:r>
      <w:r>
        <w:rPr>
          <w:rFonts w:ascii="Consolas" w:hAnsi="Consolas"/>
          <w:sz w:val="17"/>
        </w:rPr>
        <w:t>_aa</w:t>
      </w:r>
      <w:r>
        <w:t xml:space="preserve"> twice. The key requirement is to preserve occurrence-level rows and make the schema truthful.</w:t>
      </w:r>
    </w:p>
    <w:p>
      <w:pPr>
        <w:pStyle w:val="ListBullet"/>
        <w:spacing w:after="40"/>
      </w:pPr>
      <w:r>
        <w:t xml:space="preserve">All listed artifact hashes in </w:t>
      </w:r>
      <w:r>
        <w:rPr>
          <w:rFonts w:ascii="Consolas" w:hAnsi="Consolas"/>
          <w:sz w:val="17"/>
        </w:rPr>
        <w:t>BUILD-0027_SHA256SUMS.txt</w:t>
      </w:r>
      <w:r>
        <w:t xml:space="preserve"> match their corresponding archive members except the entry for the checksum file itself. Its listed hash is </w:t>
      </w:r>
      <w:r>
        <w:rPr>
          <w:rFonts w:ascii="Consolas" w:hAnsi="Consolas"/>
          <w:sz w:val="17"/>
        </w:rPr>
        <w:t>93a15537c044359851ec2880bd8472d5f4c132d6e0ee6628098f86cf8a92d229</w:t>
      </w:r>
      <w:r>
        <w:t xml:space="preserve">, while the actual hash of the included checksum file is </w:t>
      </w:r>
      <w:r>
        <w:rPr>
          <w:rFonts w:ascii="Consolas" w:hAnsi="Consolas"/>
          <w:sz w:val="17"/>
        </w:rPr>
        <w:t>f1292d5098f0343331f47fd9506b7a3e53095692481a64bd1220a4dddbb58753</w:t>
      </w:r>
      <w:r>
        <w:t>. Use a detached checksum or omit the checksum file from its own list.</w:t>
      </w:r>
    </w:p>
    <w:p>
      <w:pPr>
        <w:pStyle w:val="ListBullet"/>
        <w:spacing w:after="40"/>
      </w:pPr>
      <w:r>
        <w:t>The collision audit is empty apart from its header; report this as “no collision rows supplied” rather than a demonstrated universal absence of collisions.</w:t>
      </w:r>
    </w:p>
    <w:p>
      <w:pPr>
        <w:pStyle w:val="Heading1"/>
      </w:pPr>
      <w:r>
        <w:t xml:space="preserve">6. Integration proposal for </w:t>
      </w:r>
      <w:r>
        <w:rPr>
          <w:rFonts w:ascii="Consolas" w:hAnsi="Consolas"/>
          <w:sz w:val="17"/>
        </w:rPr>
        <w:t>zistgah/tajziya</w:t>
      </w:r>
    </w:p>
    <w:p>
      <w:pPr>
        <w:pStyle w:val="Heading2"/>
      </w:pPr>
      <w:r>
        <w:t>Guiding principle</w:t>
      </w:r>
    </w:p>
    <w:p>
      <w:r>
        <w:rPr>
          <w:b/>
        </w:rPr>
        <w:t>Integrate the capability through Tajziya's existing architecture; do not transplant the whole Pushkalāvatī/Nirgundi project or introduce a parallel transliteration runtime.</w:t>
      </w:r>
      <w:r>
        <w:t xml:space="preserve"> Tajziya already has a pinned native Romenagri component and an explicit Sanskrit pivot work package. The work should improve that contract, establish conversion correctness, and supply auditable evidence.</w:t>
      </w:r>
    </w:p>
    <w:p>
      <w:pPr>
        <w:pStyle w:val="Heading2"/>
      </w:pPr>
      <w:r>
        <w:t>Phase 0 — evidence reconciliation, no algorithm change</w:t>
      </w:r>
    </w:p>
    <w:p>
      <w:r>
        <w:t>Before touching the Tajziya parser:</w:t>
      </w:r>
    </w:p>
    <w:p>
      <w:pPr>
        <w:pStyle w:val="ListNumber"/>
        <w:spacing w:after="40"/>
      </w:pPr>
      <w:r>
        <w:t>Preserve BUILD-0025, BUILD-0026, original BUILD-0027 results, and BUILD-0027-CORRECTION as immutable evidence.</w:t>
      </w:r>
    </w:p>
    <w:p>
      <w:pPr>
        <w:pStyle w:val="ListNumber"/>
        <w:spacing w:after="40"/>
      </w:pPr>
      <w:r>
        <w:t>Regenerate the final BUILD-0027 report, statistics, manifest, and source notes so they agree on 38 full / 9 rejected RV occurrences.</w:t>
      </w:r>
    </w:p>
    <w:p>
      <w:pPr>
        <w:pStyle w:val="ListNumber"/>
        <w:spacing w:after="40"/>
      </w:pPr>
      <w:r>
        <w:t>Include the corrected corpus, full experiment output directory, conversion script, and exact command used to generate the corpus. Do not rely on unrecorded inline code.</w:t>
      </w:r>
    </w:p>
    <w:p>
      <w:pPr>
        <w:pStyle w:val="ListNumber"/>
        <w:spacing w:after="40"/>
      </w:pPr>
      <w:r>
        <w:t>Make the match ledger a true CSV or explicitly named JSONL and preserve one row per occurrence.</w:t>
      </w:r>
    </w:p>
    <w:p>
      <w:pPr>
        <w:pStyle w:val="ListNumber"/>
        <w:spacing w:after="40"/>
      </w:pPr>
      <w:r>
        <w:t>Repair checksum reporting.</w:t>
      </w:r>
    </w:p>
    <w:p>
      <w:pPr>
        <w:pStyle w:val="ListNumber"/>
        <w:spacing w:after="40"/>
      </w:pPr>
      <w:r>
        <w:t xml:space="preserve">Add negative tests for genuine vocalic-L sequences before accepting the global </w:t>
      </w:r>
      <w:r>
        <w:rPr>
          <w:rFonts w:ascii="Consolas" w:hAnsi="Consolas"/>
          <w:sz w:val="17"/>
        </w:rPr>
        <w:t>ऌ</w:t>
      </w:r>
      <w:r>
        <w:t>-to-</w:t>
      </w:r>
      <w:r>
        <w:rPr>
          <w:rFonts w:ascii="Consolas" w:hAnsi="Consolas"/>
          <w:sz w:val="17"/>
        </w:rPr>
        <w:t>ळ</w:t>
      </w:r>
      <w:r>
        <w:t xml:space="preserve"> correction as generally safe.</w:t>
      </w:r>
    </w:p>
    <w:p>
      <w:pPr>
        <w:pStyle w:val="ListNumber"/>
        <w:spacing w:after="40"/>
      </w:pPr>
      <w:r>
        <w:t>Record every input/output hash and the exact conversion profile used.</w:t>
      </w:r>
    </w:p>
    <w:p>
      <w:r>
        <w:t>This phase improves evidence without changing Nirgundi semantics or Tajziya.</w:t>
      </w:r>
    </w:p>
    <w:p>
      <w:pPr>
        <w:pStyle w:val="Heading2"/>
      </w:pPr>
      <w:r>
        <w:t>Phase 1 — make the Romenagri contract explicit</w:t>
      </w:r>
    </w:p>
    <w:p>
      <w:r>
        <w:t xml:space="preserve">In Tajziya, retain </w:t>
      </w:r>
      <w:r>
        <w:rPr>
          <w:rFonts w:ascii="Consolas" w:hAnsi="Consolas"/>
          <w:sz w:val="17"/>
        </w:rPr>
        <w:t>src/tajziya/romenagri.py</w:t>
      </w:r>
      <w:r>
        <w:t xml:space="preserve"> as the public wrapper around the pinned native implementation. Add a stricter structured service layer rather than changing the semantics of the raw functions without evidence.</w:t>
      </w:r>
    </w:p>
    <w:p>
      <w:r>
        <w:t>A candidate service contract should expose:</w:t>
      </w:r>
    </w:p>
    <w:p>
      <w:pPr>
        <w:pStyle w:val="ListBullet"/>
        <w:spacing w:after="40"/>
      </w:pPr>
      <w:r>
        <w:t>Input text and declared source representation.</w:t>
      </w:r>
    </w:p>
    <w:p>
      <w:pPr>
        <w:pStyle w:val="ListBullet"/>
        <w:spacing w:after="40"/>
      </w:pPr>
      <w:r>
        <w:t>Target representation.</w:t>
      </w:r>
    </w:p>
    <w:p>
      <w:pPr>
        <w:pStyle w:val="ListBullet"/>
        <w:spacing w:after="40"/>
      </w:pPr>
      <w:r>
        <w:t>Profile/backend identifier and pinned implementation version.</w:t>
      </w:r>
    </w:p>
    <w:p>
      <w:pPr>
        <w:pStyle w:val="ListBullet"/>
        <w:spacing w:after="40"/>
      </w:pPr>
      <w:r>
        <w:t>Output text, only when valid.</w:t>
      </w:r>
    </w:p>
    <w:p>
      <w:pPr>
        <w:pStyle w:val="ListBullet"/>
        <w:spacing w:after="40"/>
      </w:pPr>
      <w:r>
        <w:t xml:space="preserve">Per-input status: </w:t>
      </w:r>
      <w:r>
        <w:rPr>
          <w:rFonts w:ascii="Consolas" w:hAnsi="Consolas"/>
          <w:sz w:val="17"/>
        </w:rPr>
        <w:t>converted</w:t>
      </w:r>
      <w:r>
        <w:t xml:space="preserve">, </w:t>
      </w:r>
      <w:r>
        <w:rPr>
          <w:rFonts w:ascii="Consolas" w:hAnsi="Consolas"/>
          <w:sz w:val="17"/>
        </w:rPr>
        <w:t>unchanged_after_conversion</w:t>
      </w:r>
      <w:r>
        <w:t xml:space="preserve">, </w:t>
      </w:r>
      <w:r>
        <w:rPr>
          <w:rFonts w:ascii="Consolas" w:hAnsi="Consolas"/>
          <w:sz w:val="17"/>
        </w:rPr>
        <w:t>rejected</w:t>
      </w:r>
      <w:r>
        <w:t xml:space="preserve">, </w:t>
      </w:r>
      <w:r>
        <w:rPr>
          <w:rFonts w:ascii="Consolas" w:hAnsi="Consolas"/>
          <w:sz w:val="17"/>
        </w:rPr>
        <w:t>lossy</w:t>
      </w:r>
      <w:r>
        <w:t xml:space="preserve">, or </w:t>
      </w:r>
      <w:r>
        <w:rPr>
          <w:rFonts w:ascii="Consolas" w:hAnsi="Consolas"/>
          <w:sz w:val="17"/>
        </w:rPr>
        <w:t>ambiguous</w:t>
      </w:r>
      <w:r>
        <w:t>.</w:t>
      </w:r>
    </w:p>
    <w:p>
      <w:pPr>
        <w:pStyle w:val="ListBullet"/>
        <w:spacing w:after="40"/>
      </w:pPr>
      <w:r>
        <w:t>Unsupported code points and their positions.</w:t>
      </w:r>
    </w:p>
    <w:p>
      <w:pPr>
        <w:pStyle w:val="ListBullet"/>
        <w:spacing w:after="40"/>
      </w:pPr>
      <w:r>
        <w:t>Warnings and provenance.</w:t>
      </w:r>
    </w:p>
    <w:p>
      <w:pPr>
        <w:pStyle w:val="ListBullet"/>
        <w:spacing w:after="40"/>
      </w:pPr>
      <w:r>
        <w:t>Round-trip result where requested.</w:t>
      </w:r>
    </w:p>
    <w:p>
      <w:pPr>
        <w:pStyle w:val="ListBullet"/>
        <w:spacing w:after="40"/>
      </w:pPr>
      <w:r>
        <w:t>Whether lossless escape mode was used.</w:t>
      </w:r>
    </w:p>
    <w:p>
      <w:pPr>
        <w:pStyle w:val="ListBullet"/>
        <w:spacing w:after="40"/>
      </w:pPr>
      <w:r>
        <w:t>Exact source and output hashes for corpus jobs.</w:t>
      </w:r>
    </w:p>
    <w:p>
      <w:r>
        <w:t xml:space="preserve">The exact type and naming should follow Tajziya's conventions. Do not introduce a second ad hoc API before checking </w:t>
      </w:r>
      <w:r>
        <w:rPr>
          <w:rFonts w:ascii="Consolas" w:hAnsi="Consolas"/>
          <w:sz w:val="17"/>
        </w:rPr>
        <w:t>src/tajziya/api.py</w:t>
      </w:r>
      <w:r>
        <w:t xml:space="preserve"> and the master Dhancha contract. If the service must be callable by language modules, expose it through the stable </w:t>
      </w:r>
      <w:r>
        <w:rPr>
          <w:rFonts w:ascii="Consolas" w:hAnsi="Consolas"/>
          <w:sz w:val="17"/>
        </w:rPr>
        <w:t>tajziya.api</w:t>
      </w:r>
      <w:r>
        <w:t xml:space="preserve"> surface and account for the API version. The module contract currently says language modules import </w:t>
      </w:r>
      <w:r>
        <w:rPr>
          <w:rFonts w:ascii="Consolas" w:hAnsi="Consolas"/>
          <w:sz w:val="17"/>
        </w:rPr>
        <w:t>tajziya.api</w:t>
      </w:r>
      <w:r>
        <w:t xml:space="preserve"> and nothing else from Tajziya.</w:t>
      </w:r>
    </w:p>
    <w:p>
      <w:r>
        <w:t xml:space="preserve">The wrapper should preflight inputs and detect subprocess failures. Avoid silently converting unsupported characters through </w:t>
      </w:r>
      <w:r>
        <w:rPr>
          <w:rFonts w:ascii="Consolas" w:hAnsi="Consolas"/>
          <w:sz w:val="17"/>
        </w:rPr>
        <w:t>errors="replace"</w:t>
      </w:r>
      <w:r>
        <w:t xml:space="preserve"> or ASCII replacement when a caller expects fidelity. Keep a clearly named raw/legacy path if byte-compatible historical behavior must remain available.</w:t>
      </w:r>
    </w:p>
    <w:p>
      <w:pPr>
        <w:pStyle w:val="Heading2"/>
      </w:pPr>
      <w:r>
        <w:t>Phase 2 — finish P-SAN-01: Devanagari → Romenagri → segmenter representation</w:t>
      </w:r>
    </w:p>
    <w:p>
      <w:r>
        <w:t>This is the highest-value direct integration.</w:t>
      </w:r>
    </w:p>
    <w:p>
      <w:r>
        <w:t>Current state:</w:t>
      </w:r>
    </w:p>
    <w:p>
      <w:pPr>
        <w:pStyle w:val="ListBullet"/>
        <w:spacing w:after="40"/>
      </w:pPr>
      <w:r>
        <w:t xml:space="preserve">The Sanskrit port accepts </w:t>
      </w:r>
      <w:r>
        <w:rPr>
          <w:rFonts w:ascii="Consolas" w:hAnsi="Consolas"/>
          <w:sz w:val="17"/>
        </w:rPr>
        <w:t>Latn</w:t>
      </w:r>
      <w:r>
        <w:t>.</w:t>
      </w:r>
    </w:p>
    <w:p>
      <w:pPr>
        <w:pStyle w:val="ListBullet"/>
        <w:spacing w:after="40"/>
      </w:pPr>
      <w:r>
        <w:rPr>
          <w:rFonts w:ascii="Consolas" w:hAnsi="Consolas"/>
          <w:sz w:val="17"/>
        </w:rPr>
        <w:t>pivot()</w:t>
      </w:r>
      <w:r>
        <w:t xml:space="preserve"> refuses Devanagari input and names P-SAN-01 and </w:t>
      </w:r>
      <w:r>
        <w:rPr>
          <w:rFonts w:ascii="Consolas" w:hAnsi="Consolas"/>
          <w:sz w:val="17"/>
        </w:rPr>
        <w:t>abugida</w:t>
      </w:r>
      <w:r>
        <w:t>.</w:t>
      </w:r>
    </w:p>
    <w:p>
      <w:pPr>
        <w:pStyle w:val="ListBullet"/>
        <w:spacing w:after="40"/>
      </w:pPr>
      <w:r>
        <w:rPr>
          <w:rFonts w:ascii="Consolas" w:hAnsi="Consolas"/>
          <w:sz w:val="17"/>
        </w:rPr>
        <w:t>P-SAN-01</w:t>
      </w:r>
      <w:r>
        <w:t xml:space="preserve"> is open and owns </w:t>
      </w:r>
      <w:r>
        <w:rPr>
          <w:rFonts w:ascii="Consolas" w:hAnsi="Consolas"/>
          <w:sz w:val="17"/>
        </w:rPr>
        <w:t>modules/cls/</w:t>
      </w:r>
      <w:r>
        <w:t>.</w:t>
      </w:r>
    </w:p>
    <w:p>
      <w:pPr>
        <w:pStyle w:val="ListBullet"/>
        <w:spacing w:after="40"/>
      </w:pPr>
      <w:r>
        <w:rPr>
          <w:rFonts w:ascii="Consolas" w:hAnsi="Consolas"/>
          <w:sz w:val="17"/>
        </w:rPr>
        <w:t>P-ENG-09</w:t>
      </w:r>
      <w:r>
        <w:t xml:space="preserve"> describes the shared abugida engine: resolve inherent vowels, conjuncts, and vowel signs through Romenagri script tables.</w:t>
      </w:r>
    </w:p>
    <w:p>
      <w:pPr>
        <w:pStyle w:val="ListBullet"/>
        <w:spacing w:after="40"/>
      </w:pPr>
      <w:r>
        <w:rPr>
          <w:rFonts w:ascii="Consolas" w:hAnsi="Consolas"/>
          <w:sz w:val="17"/>
        </w:rPr>
        <w:t>P-L1-01</w:t>
      </w:r>
      <w:r>
        <w:t xml:space="preserve"> is the generic pivot for scripts without a Romenagri table and should remain distinct.</w:t>
      </w:r>
    </w:p>
    <w:p>
      <w:r>
        <w:t>Implementation steps:</w:t>
      </w:r>
    </w:p>
    <w:p>
      <w:pPr>
        <w:pStyle w:val="ListNumber"/>
        <w:spacing w:after="40"/>
      </w:pPr>
      <w:r>
        <w:t>Establish the segmenter's actual internal representation from the vendored parser's code and tests.</w:t>
      </w:r>
    </w:p>
    <w:p>
      <w:pPr>
        <w:pStyle w:val="ListNumber"/>
        <w:spacing w:after="40"/>
      </w:pPr>
      <w:r>
        <w:t>Verify whether a lossless, documented adapter exists from native Romenagri output to that representation. Do not assume Romenagri is IAST.</w:t>
      </w:r>
    </w:p>
    <w:p>
      <w:pPr>
        <w:pStyle w:val="ListNumber"/>
        <w:spacing w:after="40"/>
      </w:pPr>
      <w:r>
        <w:t>If no valid bridge exists, define one as a separate, testable adapter or change the parser's internal input contract deliberately. Preserve the distinction between script transliteration and phonological normalization.</w:t>
      </w:r>
    </w:p>
    <w:p>
      <w:pPr>
        <w:pStyle w:val="ListNumber"/>
        <w:spacing w:after="40"/>
      </w:pPr>
      <w:r>
        <w:t>Implement the pivot for the Classical Sanskrit module, with explicit refusal for unsupported or ambiguous forms.</w:t>
      </w:r>
    </w:p>
    <w:p>
      <w:pPr>
        <w:pStyle w:val="ListNumber"/>
        <w:spacing w:after="40"/>
      </w:pPr>
      <w:r>
        <w:t>Record provenance of each transformation: original Devanagari, native Romenagri result, any intermediate representation, and final parser input.</w:t>
      </w:r>
    </w:p>
    <w:p>
      <w:pPr>
        <w:pStyle w:val="ListNumber"/>
        <w:spacing w:after="40"/>
      </w:pPr>
      <w:r>
        <w:t xml:space="preserve">Update </w:t>
      </w:r>
      <w:r>
        <w:rPr>
          <w:rFonts w:ascii="Consolas" w:hAnsi="Consolas"/>
          <w:sz w:val="17"/>
        </w:rPr>
        <w:t>modules/cls/module.json</w:t>
      </w:r>
      <w:r>
        <w:t xml:space="preserve"> only after behavior and tests are demonstrated; change L1 from </w:t>
      </w:r>
      <w:r>
        <w:rPr>
          <w:rFonts w:ascii="Consolas" w:hAnsi="Consolas"/>
          <w:sz w:val="17"/>
        </w:rPr>
        <w:t>not_built</w:t>
      </w:r>
      <w:r>
        <w:t xml:space="preserve"> only when the pivot actually works.</w:t>
      </w:r>
    </w:p>
    <w:p>
      <w:pPr>
        <w:pStyle w:val="ListNumber"/>
        <w:spacing w:after="40"/>
      </w:pPr>
      <w:r>
        <w:t>Keep L0 phonology, L3m morphology, and L4 syntax marked unbuilt until their separate packets pass.</w:t>
      </w:r>
    </w:p>
    <w:p>
      <w:r>
        <w:t>Candidate acceptance tests:</w:t>
      </w:r>
    </w:p>
    <w:p>
      <w:pPr>
        <w:pStyle w:val="ListBullet"/>
        <w:spacing w:after="40"/>
      </w:pPr>
      <w:r>
        <w:rPr>
          <w:rFonts w:ascii="Consolas" w:hAnsi="Consolas"/>
          <w:sz w:val="17"/>
        </w:rPr>
        <w:t>वृद्धिरादैच्</w:t>
      </w:r>
      <w:r>
        <w:t xml:space="preserve"> follows the pinned native Romenagri example and has a documented path to the parser's internal representation.</w:t>
      </w:r>
    </w:p>
    <w:p>
      <w:pPr>
        <w:pStyle w:val="ListBullet"/>
        <w:spacing w:after="40"/>
      </w:pPr>
      <w:r>
        <w:t>Known attested Devanagari words and the current 12-word placeholder lexicon are covered.</w:t>
      </w:r>
    </w:p>
    <w:p>
      <w:pPr>
        <w:pStyle w:val="ListBullet"/>
        <w:spacing w:after="40"/>
      </w:pPr>
      <w:r>
        <w:t>Unsupported characters such as ळ, ऌ, ॡ, ॠ are explicitly rejected or handled by a documented profile; they are not silently altered.</w:t>
      </w:r>
    </w:p>
    <w:p>
      <w:pPr>
        <w:pStyle w:val="ListBullet"/>
        <w:spacing w:after="40"/>
      </w:pPr>
      <w:r>
        <w:t>Round-trip checks distinguish exact round trip from canonical/expected equivalence.</w:t>
      </w:r>
    </w:p>
    <w:p>
      <w:pPr>
        <w:pStyle w:val="ListBullet"/>
        <w:spacing w:after="40"/>
      </w:pPr>
      <w:r>
        <w:t>Terminal virāma, inherent vowel, explicit virāma marker, conjuncts, punctuation, whitespace, numerals, and hyphens are tested.</w:t>
      </w:r>
    </w:p>
    <w:p>
      <w:pPr>
        <w:pStyle w:val="ListBullet"/>
        <w:spacing w:after="40"/>
      </w:pPr>
      <w:r>
        <w:t>Native behavior and the reconstructed Python profile are compared in a separate differential suite; differences are reported rather than silently normalized.</w:t>
      </w:r>
    </w:p>
    <w:p>
      <w:pPr>
        <w:pStyle w:val="ListBullet"/>
        <w:spacing w:after="40"/>
      </w:pPr>
      <w:r>
        <w:t xml:space="preserve">Ambiguous readings are all returned; unsupported readings produce </w:t>
      </w:r>
      <w:r>
        <w:rPr>
          <w:rFonts w:ascii="Consolas" w:hAnsi="Consolas"/>
          <w:sz w:val="17"/>
        </w:rPr>
        <w:t>NotBuilt</w:t>
      </w:r>
      <w:r>
        <w:t>/</w:t>
      </w:r>
      <w:r>
        <w:rPr>
          <w:rFonts w:ascii="Consolas" w:hAnsi="Consolas"/>
          <w:sz w:val="17"/>
        </w:rPr>
        <w:t>Unknown</w:t>
      </w:r>
      <w:r>
        <w:t xml:space="preserve"> according to the contract rather than a fabricated parse.</w:t>
      </w:r>
    </w:p>
    <w:p>
      <w:pPr>
        <w:pStyle w:val="ListBullet"/>
        <w:spacing w:after="40"/>
      </w:pPr>
      <w:r>
        <w:rPr>
          <w:rFonts w:ascii="Consolas" w:hAnsi="Consolas"/>
          <w:sz w:val="17"/>
        </w:rPr>
        <w:t>PYTHONPATH=src python3 -m unittest tests.test_p_san_01</w:t>
      </w:r>
      <w:r>
        <w:t xml:space="preserve"> passes.</w:t>
      </w:r>
    </w:p>
    <w:p>
      <w:pPr>
        <w:pStyle w:val="ListBullet"/>
        <w:spacing w:after="40"/>
      </w:pPr>
      <w:r>
        <w:rPr>
          <w:rFonts w:ascii="Consolas" w:hAnsi="Consolas"/>
          <w:sz w:val="17"/>
        </w:rPr>
        <w:t>bash ops/verify.sh</w:t>
      </w:r>
      <w:r>
        <w:t xml:space="preserve"> passes.</w:t>
      </w:r>
    </w:p>
    <w:p>
      <w:pPr>
        <w:pStyle w:val="ListBullet"/>
        <w:spacing w:after="40"/>
      </w:pPr>
      <w:r>
        <w:rPr>
          <w:rFonts w:ascii="Consolas" w:hAnsi="Consolas"/>
          <w:sz w:val="17"/>
        </w:rPr>
        <w:t>PYTHONPATH=src python3 -m tajziya accept modules/cls --integration</w:t>
      </w:r>
      <w:r>
        <w:t xml:space="preserve"> passes.</w:t>
      </w:r>
    </w:p>
    <w:p>
      <w:pPr>
        <w:pStyle w:val="ListBullet"/>
        <w:spacing w:after="40"/>
      </w:pPr>
      <w:r>
        <w:rPr>
          <w:rFonts w:ascii="Consolas" w:hAnsi="Consolas"/>
          <w:sz w:val="17"/>
        </w:rPr>
        <w:t>make check</w:t>
      </w:r>
      <w:r>
        <w:t xml:space="preserve"> passes; run </w:t>
      </w:r>
      <w:r>
        <w:rPr>
          <w:rFonts w:ascii="Consolas" w:hAnsi="Consolas"/>
          <w:sz w:val="17"/>
        </w:rPr>
        <w:t>make deps &amp;&amp; make check</w:t>
      </w:r>
      <w:r>
        <w:t xml:space="preserve"> when validating the full spine.</w:t>
      </w:r>
    </w:p>
    <w:p>
      <w:pPr>
        <w:pStyle w:val="Heading2"/>
      </w:pPr>
      <w:r>
        <w:t>Phase 3 — shared script/representation engine only after P-SAN-01</w:t>
      </w:r>
    </w:p>
    <w:p>
      <w:r>
        <w:t>Do not prematurely extract a universal engine from a single Sanskrit example. Once P-SAN-01 is stable, generalize the mechanism into a reusable L1/abugida service.</w:t>
      </w:r>
    </w:p>
    <w:p>
      <w:r>
        <w:t>Separate the axes:</w:t>
      </w:r>
    </w:p>
    <w:p>
      <w:pPr>
        <w:pStyle w:val="ListBullet"/>
        <w:spacing w:after="40"/>
      </w:pPr>
      <w:r>
        <w:rPr>
          <w:b/>
        </w:rPr>
        <w:t>Script layer:</w:t>
      </w:r>
      <w:r>
        <w:t xml:space="preserve"> decode orthographic units and script-specific structure.</w:t>
      </w:r>
    </w:p>
    <w:p>
      <w:pPr>
        <w:pStyle w:val="ListBullet"/>
        <w:spacing w:after="40"/>
      </w:pPr>
      <w:r>
        <w:rPr>
          <w:b/>
        </w:rPr>
        <w:t>Transliteration layer:</w:t>
      </w:r>
      <w:r>
        <w:t xml:space="preserve"> apply a named reversible or partially reversible mapping.</w:t>
      </w:r>
    </w:p>
    <w:p>
      <w:pPr>
        <w:pStyle w:val="ListBullet"/>
        <w:spacing w:after="40"/>
      </w:pPr>
      <w:r>
        <w:rPr>
          <w:b/>
        </w:rPr>
        <w:t>Orthographic layer:</w:t>
      </w:r>
      <w:r>
        <w:t xml:space="preserve"> preserve/normalize Unicode according to a declared policy.</w:t>
      </w:r>
    </w:p>
    <w:p>
      <w:pPr>
        <w:pStyle w:val="ListBullet"/>
        <w:spacing w:after="40"/>
      </w:pPr>
      <w:r>
        <w:rPr>
          <w:b/>
        </w:rPr>
        <w:t>Phonological layer:</w:t>
      </w:r>
      <w:r>
        <w:t xml:space="preserve"> only apply language-specific sound interpretation when there is sourced evidence.</w:t>
      </w:r>
    </w:p>
    <w:p>
      <w:pPr>
        <w:pStyle w:val="ListBullet"/>
        <w:spacing w:after="40"/>
      </w:pPr>
      <w:r>
        <w:rPr>
          <w:b/>
        </w:rPr>
        <w:t>Lexical/morphological layers:</w:t>
      </w:r>
      <w:r>
        <w:t xml:space="preserve"> match lexemes and analyse forms after the script path is complete.</w:t>
      </w:r>
    </w:p>
    <w:p>
      <w:r>
        <w:t>Potential reusable operations include:</w:t>
      </w:r>
    </w:p>
    <w:p>
      <w:pPr>
        <w:pStyle w:val="ListBullet"/>
        <w:spacing w:after="40"/>
      </w:pPr>
      <w:r>
        <w:t>Unicode normalization with original text retained.</w:t>
      </w:r>
    </w:p>
    <w:p>
      <w:pPr>
        <w:pStyle w:val="ListBullet"/>
        <w:spacing w:after="40"/>
      </w:pPr>
      <w:r>
        <w:t>Script detection and explicit script profile.</w:t>
      </w:r>
    </w:p>
    <w:p>
      <w:pPr>
        <w:pStyle w:val="ListBullet"/>
        <w:spacing w:after="40"/>
      </w:pPr>
      <w:r>
        <w:t>Grapheme/code-point inspection.</w:t>
      </w:r>
    </w:p>
    <w:p>
      <w:pPr>
        <w:pStyle w:val="ListBullet"/>
        <w:spacing w:after="40"/>
      </w:pPr>
      <w:r>
        <w:t>Mapping candidates with source and rule provenance.</w:t>
      </w:r>
    </w:p>
    <w:p>
      <w:pPr>
        <w:pStyle w:val="ListBullet"/>
        <w:spacing w:after="40"/>
      </w:pPr>
      <w:r>
        <w:t>Forward and inverse transformations.</w:t>
      </w:r>
    </w:p>
    <w:p>
      <w:pPr>
        <w:pStyle w:val="ListBullet"/>
        <w:spacing w:after="40"/>
      </w:pPr>
      <w:r>
        <w:t>Reversibility and collision reports.</w:t>
      </w:r>
    </w:p>
    <w:p>
      <w:pPr>
        <w:pStyle w:val="ListBullet"/>
        <w:spacing w:after="40"/>
      </w:pPr>
      <w:r>
        <w:t>Rejection/ambiguity handling.</w:t>
      </w:r>
    </w:p>
    <w:p>
      <w:pPr>
        <w:pStyle w:val="ListBullet"/>
        <w:spacing w:after="40"/>
      </w:pPr>
      <w:r>
        <w:t>Corpus accounting and per-record status.</w:t>
      </w:r>
    </w:p>
    <w:p>
      <w:pPr>
        <w:pStyle w:val="ListBullet"/>
        <w:spacing w:after="40"/>
      </w:pPr>
      <w:r>
        <w:t>Scheme-aware exact matching.</w:t>
      </w:r>
    </w:p>
    <w:p>
      <w:r>
        <w:t>The generic engine should not hard-code Sanskrit-only exceptions. Language- or corpus-specific correction rules should be profile-scoped, named, tested, and provenance-bearing.</w:t>
      </w:r>
    </w:p>
    <w:p>
      <w:pPr>
        <w:pStyle w:val="Heading2"/>
      </w:pPr>
      <w:r>
        <w:t>Phase 4 — language and corpus modules</w:t>
      </w:r>
    </w:p>
    <w:p>
      <w:r>
        <w:t>After the shared mechanism is accepted:</w:t>
      </w:r>
    </w:p>
    <w:p>
      <w:pPr>
        <w:pStyle w:val="ListBullet"/>
        <w:spacing w:after="40"/>
      </w:pPr>
      <w:r>
        <w:t xml:space="preserve">Add corpus fixtures as </w:t>
      </w:r>
      <w:r>
        <w:rPr>
          <w:rFonts w:ascii="Consolas" w:hAnsi="Consolas"/>
          <w:sz w:val="17"/>
        </w:rPr>
        <w:t>modules/cls/reference/examples.json</w:t>
      </w:r>
      <w:r>
        <w:t xml:space="preserve"> or a dedicated test corpus with source, licence, and exact provenance.</w:t>
      </w:r>
    </w:p>
    <w:p>
      <w:pPr>
        <w:pStyle w:val="ListBullet"/>
        <w:spacing w:after="40"/>
      </w:pPr>
      <w:r>
        <w:t xml:space="preserve">Do not add the complete MW inventory to Tajziya merely because it was used in the audit. Check source terms and redistribution rights; include only appropriately licensed data, and record every data source in </w:t>
      </w:r>
      <w:r>
        <w:rPr>
          <w:rFonts w:ascii="Consolas" w:hAnsi="Consolas"/>
          <w:sz w:val="17"/>
        </w:rPr>
        <w:t>data/SOURCES.json</w:t>
      </w:r>
      <w:r>
        <w:t>.</w:t>
      </w:r>
    </w:p>
    <w:p>
      <w:pPr>
        <w:pStyle w:val="ListBullet"/>
        <w:spacing w:after="40"/>
      </w:pPr>
      <w:r>
        <w:t>Treat MW/RV as a benchmark/test corpus with separate conversion disposition, not as proof that a morphological analyzer exists.</w:t>
      </w:r>
    </w:p>
    <w:p>
      <w:pPr>
        <w:pStyle w:val="ListBullet"/>
        <w:spacing w:after="40"/>
      </w:pPr>
      <w:r>
        <w:t>Morphological work belongs in P-SAN-03/P-SAN-04/P-SAN-05 once sourced sandhi rules and an appropriately licensed lexicon are available.</w:t>
      </w:r>
    </w:p>
    <w:p>
      <w:pPr>
        <w:pStyle w:val="ListBullet"/>
        <w:spacing w:after="40"/>
      </w:pPr>
      <w:r>
        <w:t>Do not bind Vedic or Epic stages to the Classical Sanskrit segmenter until P-SAN-08 validation passes.</w:t>
      </w:r>
    </w:p>
    <w:p>
      <w:pPr>
        <w:pStyle w:val="ListBullet"/>
        <w:spacing w:after="40"/>
      </w:pPr>
      <w:r>
        <w:t>Preserve the current honest refusal behavior for morphology and karaka syntax.</w:t>
      </w:r>
    </w:p>
    <w:p>
      <w:pPr>
        <w:pStyle w:val="Heading2"/>
      </w:pPr>
      <w:r>
        <w:t>Phase 5 — cross-scheme and multilingual reuse</w:t>
      </w:r>
    </w:p>
    <w:p>
      <w:r>
        <w:t>The collision suite can inform shared L1 test infrastructure. Its strongest reusable result is methodological: every representation must have a scheme ID, normalization policy, and explicit fidelity contract. Examples to retain as regression tests include:</w:t>
      </w:r>
    </w:p>
    <w:p>
      <w:pPr>
        <w:pStyle w:val="ListBullet"/>
        <w:spacing w:after="40"/>
      </w:pPr>
      <w:r>
        <w:t>IAST diacritic stripping merges distinctions.</w:t>
      </w:r>
    </w:p>
    <w:p>
      <w:pPr>
        <w:pStyle w:val="ListBullet"/>
        <w:spacing w:after="40"/>
      </w:pPr>
      <w:r>
        <w:t>SLP1 case folding loses distinctions.</w:t>
      </w:r>
    </w:p>
    <w:p>
      <w:pPr>
        <w:pStyle w:val="ListBullet"/>
        <w:spacing w:after="40"/>
      </w:pPr>
      <w:r>
        <w:t>HK and SLP1 can assign different values to the same visible Latin sequence.</w:t>
      </w:r>
    </w:p>
    <w:p>
      <w:pPr>
        <w:pStyle w:val="ListBullet"/>
        <w:spacing w:after="40"/>
      </w:pPr>
      <w:r>
        <w:t>Removing underscores can collapse Romenagri distinctions.</w:t>
      </w:r>
    </w:p>
    <w:p>
      <w:pPr>
        <w:pStyle w:val="ListBullet"/>
        <w:spacing w:after="40"/>
      </w:pPr>
      <w:r>
        <w:t>Numeral normalization can merge Devanagari digits with ASCII digits.</w:t>
      </w:r>
    </w:p>
    <w:p>
      <w:pPr>
        <w:pStyle w:val="ListBullet"/>
        <w:spacing w:after="40"/>
      </w:pPr>
      <w:r>
        <w:t>A native Romenagri round trip may differ from a reconstructed Python profile even for terminal-consonant cases.</w:t>
      </w:r>
    </w:p>
    <w:p>
      <w:r>
        <w:t>These should become scheme-specific tests and common contract tests, not a blanket claim that Romenagri is universally superior or that all other schemes are defective.</w:t>
      </w:r>
    </w:p>
    <w:p>
      <w:pPr>
        <w:pStyle w:val="Heading1"/>
      </w:pPr>
      <w:r>
        <w:t>7. Proposed work packages and acceptance gates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7E5EF"/>
          </w:tcPr>
          <w:p>
            <w:r>
              <w:rPr>
                <w:b/>
                <w:sz w:val="15"/>
              </w:rPr>
            </w:r>
            <w:r>
              <w:rPr>
                <w:b/>
                <w:sz w:val="15"/>
              </w:rPr>
              <w:t>Work item</w:t>
            </w:r>
          </w:p>
        </w:tc>
        <w:tc>
          <w:tcPr>
            <w:tcW w:type="dxa" w:w="3331"/>
            <w:shd w:fill="D7E5EF"/>
          </w:tcPr>
          <w:p>
            <w:r>
              <w:rPr>
                <w:b/>
                <w:sz w:val="15"/>
              </w:rPr>
            </w:r>
            <w:r>
              <w:rPr>
                <w:b/>
                <w:sz w:val="15"/>
              </w:rPr>
              <w:t>Proposed home</w:t>
            </w:r>
          </w:p>
        </w:tc>
        <w:tc>
          <w:tcPr>
            <w:tcW w:type="dxa" w:w="3331"/>
            <w:shd w:fill="D7E5EF"/>
          </w:tcPr>
          <w:p>
            <w:r>
              <w:rPr>
                <w:b/>
                <w:sz w:val="15"/>
              </w:rPr>
            </w:r>
            <w:r>
              <w:rPr>
                <w:b/>
                <w:sz w:val="15"/>
              </w:rPr>
              <w:t>Acceptance condition</w:t>
            </w:r>
          </w:p>
        </w:tc>
      </w:tr>
      <w:tr>
        <w:tc>
          <w:tcPr>
            <w:tcW w:type="dxa" w:w="3331"/>
            <w:vAlign w:val="center"/>
          </w:tcPr>
          <w:p>
            <w:r>
              <w:rPr>
                <w:sz w:val="15"/>
              </w:rPr>
            </w:r>
            <w:r>
              <w:rPr>
                <w:sz w:val="15"/>
              </w:rPr>
              <w:t>Reconcile BUILD-0027 evidence</w:t>
            </w:r>
          </w:p>
        </w:tc>
        <w:tc>
          <w:tcPr>
            <w:tcW w:type="dxa" w:w="3331"/>
            <w:vAlign w:val="center"/>
          </w:tcPr>
          <w:p>
            <w:r>
              <w:rPr>
                <w:sz w:val="15"/>
              </w:rPr>
            </w:r>
            <w:r>
              <w:rPr>
                <w:sz w:val="15"/>
              </w:rPr>
              <w:t>Development/audit artifacts; not a parser module</w:t>
            </w:r>
          </w:p>
        </w:tc>
        <w:tc>
          <w:tcPr>
            <w:tcW w:type="dxa" w:w="3331"/>
            <w:vAlign w:val="center"/>
          </w:tcPr>
          <w:p>
            <w:r>
              <w:rPr>
                <w:sz w:val="15"/>
              </w:rPr>
            </w:r>
            <w:r>
              <w:rPr>
                <w:sz w:val="15"/>
              </w:rPr>
              <w:t>Reports, generated data, manifest, checksums, and logs agree; all 47 RV occurrences and all 287,432 MW records are accounted for.</w:t>
            </w:r>
          </w:p>
        </w:tc>
      </w:tr>
      <w:tr>
        <w:tc>
          <w:tcPr>
            <w:tcW w:type="dxa" w:w="3331"/>
            <w:vAlign w:val="center"/>
          </w:tcPr>
          <w:p>
            <w:r>
              <w:rPr>
                <w:sz w:val="15"/>
              </w:rPr>
            </w:r>
            <w:r>
              <w:rPr>
                <w:sz w:val="15"/>
              </w:rPr>
              <w:t>Strict native Romenagri service contract</w:t>
            </w:r>
          </w:p>
        </w:tc>
        <w:tc>
          <w:tcPr>
            <w:tcW w:type="dxa" w:w="3331"/>
            <w:vAlign w:val="center"/>
          </w:tcPr>
          <w:p>
            <w:r>
              <w:rPr>
                <w:sz w:val="15"/>
              </w:rPr>
            </w:r>
            <w:r>
              <w:rPr>
                <w:rFonts w:ascii="Consolas" w:hAnsi="Consolas"/>
                <w:sz w:val="15"/>
              </w:rPr>
              <w:t>src/tajziya/romenagri.py</w:t>
            </w:r>
            <w:r>
              <w:rPr>
                <w:sz w:val="15"/>
              </w:rPr>
              <w:t xml:space="preserve"> plus stable </w:t>
            </w:r>
            <w:r>
              <w:rPr>
                <w:rFonts w:ascii="Consolas" w:hAnsi="Consolas"/>
                <w:sz w:val="15"/>
              </w:rPr>
              <w:t>tajziya.api</w:t>
            </w:r>
            <w:r>
              <w:rPr>
                <w:sz w:val="15"/>
              </w:rPr>
              <w:t xml:space="preserve"> façade if needed</w:t>
            </w:r>
          </w:p>
        </w:tc>
        <w:tc>
          <w:tcPr>
            <w:tcW w:type="dxa" w:w="3331"/>
            <w:vAlign w:val="center"/>
          </w:tcPr>
          <w:p>
            <w:r>
              <w:rPr>
                <w:sz w:val="15"/>
              </w:rPr>
            </w:r>
            <w:r>
              <w:rPr>
                <w:sz w:val="15"/>
              </w:rPr>
              <w:t>Unsupported input is not silently replaced; statuses/provenance are explicit; historical native path remains pinned.</w:t>
            </w:r>
          </w:p>
        </w:tc>
      </w:tr>
      <w:tr>
        <w:tc>
          <w:tcPr>
            <w:tcW w:type="dxa" w:w="3331"/>
            <w:vAlign w:val="center"/>
          </w:tcPr>
          <w:p>
            <w:r>
              <w:rPr>
                <w:sz w:val="15"/>
              </w:rPr>
            </w:r>
            <w:r>
              <w:rPr>
                <w:sz w:val="15"/>
              </w:rPr>
              <w:t>Sanskrit Devanagari pivot</w:t>
            </w:r>
          </w:p>
        </w:tc>
        <w:tc>
          <w:tcPr>
            <w:tcW w:type="dxa" w:w="3331"/>
            <w:vAlign w:val="center"/>
          </w:tcPr>
          <w:p>
            <w:r>
              <w:rPr>
                <w:sz w:val="15"/>
              </w:rPr>
            </w:r>
            <w:r>
              <w:rPr>
                <w:sz w:val="15"/>
              </w:rPr>
              <w:t xml:space="preserve">Existing </w:t>
            </w:r>
            <w:r>
              <w:rPr>
                <w:rFonts w:ascii="Consolas" w:hAnsi="Consolas"/>
                <w:sz w:val="15"/>
              </w:rPr>
              <w:t>P-SAN-01</w:t>
            </w:r>
            <w:r>
              <w:rPr>
                <w:sz w:val="15"/>
              </w:rPr>
              <w:t xml:space="preserve">, </w:t>
            </w:r>
            <w:r>
              <w:rPr>
                <w:rFonts w:ascii="Consolas" w:hAnsi="Consolas"/>
                <w:sz w:val="15"/>
              </w:rPr>
              <w:t>modules/cls/</w:t>
            </w:r>
          </w:p>
        </w:tc>
        <w:tc>
          <w:tcPr>
            <w:tcW w:type="dxa" w:w="3331"/>
            <w:vAlign w:val="center"/>
          </w:tcPr>
          <w:p>
            <w:r>
              <w:rPr>
                <w:sz w:val="15"/>
              </w:rPr>
            </w:r>
            <w:r>
              <w:rPr>
                <w:sz w:val="15"/>
              </w:rPr>
              <w:t xml:space="preserve">Devanagari input is mapped to the segmenter's actual internal form with tests; </w:t>
            </w:r>
            <w:r>
              <w:rPr>
                <w:rFonts w:ascii="Consolas" w:hAnsi="Consolas"/>
                <w:sz w:val="15"/>
              </w:rPr>
              <w:t>NotBuilt</w:t>
            </w:r>
            <w:r>
              <w:rPr>
                <w:sz w:val="15"/>
              </w:rPr>
              <w:t xml:space="preserve"> removed only after acceptance.</w:t>
            </w:r>
          </w:p>
        </w:tc>
      </w:tr>
      <w:tr>
        <w:tc>
          <w:tcPr>
            <w:tcW w:type="dxa" w:w="3331"/>
            <w:vAlign w:val="center"/>
          </w:tcPr>
          <w:p>
            <w:r>
              <w:rPr>
                <w:sz w:val="15"/>
              </w:rPr>
            </w:r>
            <w:r>
              <w:rPr>
                <w:sz w:val="15"/>
              </w:rPr>
              <w:t>Shared abugida engine</w:t>
            </w:r>
          </w:p>
        </w:tc>
        <w:tc>
          <w:tcPr>
            <w:tcW w:type="dxa" w:w="3331"/>
            <w:vAlign w:val="center"/>
          </w:tcPr>
          <w:p>
            <w:r>
              <w:rPr>
                <w:sz w:val="15"/>
              </w:rPr>
            </w:r>
            <w:r>
              <w:rPr>
                <w:rFonts w:ascii="Consolas" w:hAnsi="Consolas"/>
                <w:sz w:val="15"/>
              </w:rPr>
              <w:t>P-ENG-09</w:t>
            </w:r>
            <w:r>
              <w:rPr>
                <w:sz w:val="15"/>
              </w:rPr>
              <w:t xml:space="preserve"> / script-axis engine</w:t>
            </w:r>
          </w:p>
        </w:tc>
        <w:tc>
          <w:tcPr>
            <w:tcW w:type="dxa" w:w="3331"/>
            <w:vAlign w:val="center"/>
          </w:tcPr>
          <w:p>
            <w:r>
              <w:rPr>
                <w:sz w:val="15"/>
              </w:rPr>
            </w:r>
            <w:r>
              <w:rPr>
                <w:sz w:val="15"/>
              </w:rPr>
              <w:t>Extracted only after the Sanskrit path is proven; engine remains script-axis, not language-specific.</w:t>
            </w:r>
          </w:p>
        </w:tc>
      </w:tr>
      <w:tr>
        <w:tc>
          <w:tcPr>
            <w:tcW w:type="dxa" w:w="3331"/>
            <w:vAlign w:val="center"/>
          </w:tcPr>
          <w:p>
            <w:r>
              <w:rPr>
                <w:sz w:val="15"/>
              </w:rPr>
            </w:r>
            <w:r>
              <w:rPr>
                <w:sz w:val="15"/>
              </w:rPr>
              <w:t>Generic script pivot for scripts lacking a Romenagri table</w:t>
            </w:r>
          </w:p>
        </w:tc>
        <w:tc>
          <w:tcPr>
            <w:tcW w:type="dxa" w:w="3331"/>
            <w:vAlign w:val="center"/>
          </w:tcPr>
          <w:p>
            <w:r>
              <w:rPr>
                <w:sz w:val="15"/>
              </w:rPr>
            </w:r>
            <w:r>
              <w:rPr>
                <w:rFonts w:ascii="Consolas" w:hAnsi="Consolas"/>
                <w:sz w:val="15"/>
              </w:rPr>
              <w:t>P-L1-01</w:t>
            </w:r>
            <w:r>
              <w:rPr>
                <w:sz w:val="15"/>
              </w:rPr>
              <w:t xml:space="preserve">, </w:t>
            </w:r>
            <w:r>
              <w:rPr>
                <w:rFonts w:ascii="Consolas" w:hAnsi="Consolas"/>
                <w:sz w:val="15"/>
              </w:rPr>
              <w:t>src/tajziya/pivot/</w:t>
            </w:r>
          </w:p>
        </w:tc>
        <w:tc>
          <w:tcPr>
            <w:tcW w:type="dxa" w:w="3331"/>
            <w:vAlign w:val="center"/>
          </w:tcPr>
          <w:p>
            <w:r>
              <w:rPr>
                <w:sz w:val="15"/>
              </w:rPr>
            </w:r>
            <w:r>
              <w:rPr>
                <w:sz w:val="15"/>
              </w:rPr>
              <w:t>Missing table and ambiguous mappings refuse explicitly; no guessed mapping.</w:t>
            </w:r>
          </w:p>
        </w:tc>
      </w:tr>
      <w:tr>
        <w:tc>
          <w:tcPr>
            <w:tcW w:type="dxa" w:w="3331"/>
            <w:vAlign w:val="center"/>
          </w:tcPr>
          <w:p>
            <w:r>
              <w:rPr>
                <w:sz w:val="15"/>
              </w:rPr>
            </w:r>
            <w:r>
              <w:rPr>
                <w:sz w:val="15"/>
              </w:rPr>
              <w:t>Transliteration collision regression suite</w:t>
            </w:r>
          </w:p>
        </w:tc>
        <w:tc>
          <w:tcPr>
            <w:tcW w:type="dxa" w:w="3331"/>
            <w:vAlign w:val="center"/>
          </w:tcPr>
          <w:p>
            <w:r>
              <w:rPr>
                <w:sz w:val="15"/>
              </w:rPr>
            </w:r>
            <w:r>
              <w:rPr>
                <w:rFonts w:ascii="Consolas" w:hAnsi="Consolas"/>
                <w:sz w:val="15"/>
              </w:rPr>
              <w:t>tests/</w:t>
            </w:r>
            <w:r>
              <w:rPr>
                <w:sz w:val="15"/>
              </w:rPr>
              <w:t xml:space="preserve"> plus sourced test fixtures</w:t>
            </w:r>
          </w:p>
        </w:tc>
        <w:tc>
          <w:tcPr>
            <w:tcW w:type="dxa" w:w="3331"/>
            <w:vAlign w:val="center"/>
          </w:tcPr>
          <w:p>
            <w:r>
              <w:rPr>
                <w:sz w:val="15"/>
              </w:rPr>
            </w:r>
            <w:r>
              <w:rPr>
                <w:sz w:val="15"/>
              </w:rPr>
              <w:t>Minimal pairs, normalization, reverse mapping, and lossiness tests run in CI.</w:t>
            </w:r>
          </w:p>
        </w:tc>
      </w:tr>
      <w:tr>
        <w:tc>
          <w:tcPr>
            <w:tcW w:type="dxa" w:w="3331"/>
            <w:vAlign w:val="center"/>
          </w:tcPr>
          <w:p>
            <w:r>
              <w:rPr>
                <w:sz w:val="15"/>
              </w:rPr>
            </w:r>
            <w:r>
              <w:rPr>
                <w:sz w:val="15"/>
              </w:rPr>
              <w:t>Corpus provenance and licensing</w:t>
            </w:r>
          </w:p>
        </w:tc>
        <w:tc>
          <w:tcPr>
            <w:tcW w:type="dxa" w:w="3331"/>
            <w:vAlign w:val="center"/>
          </w:tcPr>
          <w:p>
            <w:r>
              <w:rPr>
                <w:sz w:val="15"/>
              </w:rPr>
            </w:r>
            <w:r>
              <w:rPr>
                <w:rFonts w:ascii="Consolas" w:hAnsi="Consolas"/>
                <w:sz w:val="15"/>
              </w:rPr>
              <w:t>modules/cls/data/SOURCES.json</w:t>
            </w:r>
            <w:r>
              <w:rPr>
                <w:sz w:val="15"/>
              </w:rPr>
              <w:t xml:space="preserve"> or relevant data-source manifests</w:t>
            </w:r>
          </w:p>
        </w:tc>
        <w:tc>
          <w:tcPr>
            <w:tcW w:type="dxa" w:w="3331"/>
            <w:vAlign w:val="center"/>
          </w:tcPr>
          <w:p>
            <w:r>
              <w:rPr>
                <w:sz w:val="15"/>
              </w:rPr>
            </w:r>
            <w:r>
              <w:rPr>
                <w:sz w:val="15"/>
              </w:rPr>
              <w:t>Licence, source revision, hash, attribution, and redistribution permission are recorded before data are committed.</w:t>
            </w:r>
          </w:p>
        </w:tc>
      </w:tr>
      <w:tr>
        <w:tc>
          <w:tcPr>
            <w:tcW w:type="dxa" w:w="3331"/>
            <w:vAlign w:val="center"/>
          </w:tcPr>
          <w:p>
            <w:r>
              <w:rPr>
                <w:sz w:val="15"/>
              </w:rPr>
            </w:r>
            <w:r>
              <w:rPr>
                <w:sz w:val="15"/>
              </w:rPr>
              <w:t>Morphology</w:t>
            </w:r>
          </w:p>
        </w:tc>
        <w:tc>
          <w:tcPr>
            <w:tcW w:type="dxa" w:w="3331"/>
            <w:vAlign w:val="center"/>
          </w:tcPr>
          <w:p>
            <w:r>
              <w:rPr>
                <w:sz w:val="15"/>
              </w:rPr>
            </w:r>
            <w:r>
              <w:rPr>
                <w:sz w:val="15"/>
              </w:rPr>
              <w:t>P-SAN-03, P-SAN-04, then P-SAN-05</w:t>
            </w:r>
          </w:p>
        </w:tc>
        <w:tc>
          <w:tcPr>
            <w:tcW w:type="dxa" w:w="3331"/>
            <w:vAlign w:val="center"/>
          </w:tcPr>
          <w:p>
            <w:r>
              <w:rPr>
                <w:sz w:val="15"/>
              </w:rPr>
            </w:r>
            <w:r>
              <w:rPr>
                <w:sz w:val="15"/>
              </w:rPr>
              <w:t>Sourced rules and licensed lexicon precede executable morphology; do not claim morphology from token matching.</w:t>
            </w:r>
          </w:p>
        </w:tc>
      </w:tr>
    </w:tbl>
    <w:p>
      <w:pPr>
        <w:spacing w:after="20"/>
      </w:pPr>
    </w:p>
    <w:p>
      <w:r>
        <w:t>Do not invent new package identifiers or alter existing packet semantics without first inspecting the repository's packet schema and AAB/ledger rules. If the scope is too large for P-SAN-01, propose a new packet with an acceptance command and update the package/quest/ledger artifacts required by the repository contract.</w:t>
      </w:r>
    </w:p>
    <w:p>
      <w:pPr>
        <w:pStyle w:val="Heading1"/>
      </w:pPr>
      <w:r>
        <w:t>8. Test plan for Claude</w:t>
      </w:r>
    </w:p>
    <w:p>
      <w:pPr>
        <w:pStyle w:val="Heading2"/>
      </w:pPr>
      <w:r>
        <w:t>8.1 Native Romenagri availability and build</w:t>
      </w:r>
    </w:p>
    <w:p>
      <w:pPr>
        <w:pStyle w:val="ListBullet"/>
        <w:spacing w:after="40"/>
      </w:pPr>
      <w:r>
        <w:t xml:space="preserve">Inspect </w:t>
      </w:r>
      <w:r>
        <w:rPr>
          <w:rFonts w:ascii="Consolas" w:hAnsi="Consolas"/>
          <w:sz w:val="17"/>
        </w:rPr>
        <w:t>vendor/romenagri/UPSTREAM.json</w:t>
      </w:r>
      <w:r>
        <w:t xml:space="preserve"> and verify pinned source hashes.</w:t>
      </w:r>
    </w:p>
    <w:p>
      <w:pPr>
        <w:pStyle w:val="ListBullet"/>
        <w:spacing w:after="40"/>
      </w:pPr>
      <w:r>
        <w:t xml:space="preserve">Check </w:t>
      </w:r>
      <w:r>
        <w:rPr>
          <w:rFonts w:ascii="Consolas" w:hAnsi="Consolas"/>
          <w:sz w:val="17"/>
        </w:rPr>
        <w:t>gcc</w:t>
      </w:r>
      <w:r>
        <w:t xml:space="preserve">, </w:t>
      </w:r>
      <w:r>
        <w:rPr>
          <w:rFonts w:ascii="Consolas" w:hAnsi="Consolas"/>
          <w:sz w:val="17"/>
        </w:rPr>
        <w:t>flex</w:t>
      </w:r>
      <w:r>
        <w:t xml:space="preserve">, </w:t>
      </w:r>
      <w:r>
        <w:rPr>
          <w:rFonts w:ascii="Consolas" w:hAnsi="Consolas"/>
          <w:sz w:val="17"/>
        </w:rPr>
        <w:t>make</w:t>
      </w:r>
      <w:r>
        <w:t xml:space="preserve">, and </w:t>
      </w:r>
      <w:r>
        <w:rPr>
          <w:rFonts w:ascii="Consolas" w:hAnsi="Consolas"/>
          <w:sz w:val="17"/>
        </w:rPr>
        <w:t>iconv</w:t>
      </w:r>
      <w:r>
        <w:t xml:space="preserve"> availability.</w:t>
      </w:r>
    </w:p>
    <w:p>
      <w:pPr>
        <w:pStyle w:val="ListBullet"/>
        <w:spacing w:after="40"/>
      </w:pPr>
      <w:r>
        <w:t xml:space="preserve">Run the existing </w:t>
      </w:r>
      <w:r>
        <w:rPr>
          <w:rFonts w:ascii="Consolas" w:hAnsi="Consolas"/>
          <w:sz w:val="17"/>
        </w:rPr>
        <w:t>build()</w:t>
      </w:r>
      <w:r>
        <w:t xml:space="preserve"> path and capture full output and exit status.</w:t>
      </w:r>
    </w:p>
    <w:p>
      <w:pPr>
        <w:pStyle w:val="ListBullet"/>
        <w:spacing w:after="40"/>
      </w:pPr>
      <w:r>
        <w:t>Run the actual filter build and tests; do not infer full filter parity from direct C-function probes.</w:t>
      </w:r>
    </w:p>
    <w:p>
      <w:pPr>
        <w:pStyle w:val="ListBullet"/>
        <w:spacing w:after="40"/>
      </w:pPr>
      <w:r>
        <w:t xml:space="preserve">If </w:t>
      </w:r>
      <w:r>
        <w:rPr>
          <w:rFonts w:ascii="Consolas" w:hAnsi="Consolas"/>
          <w:sz w:val="17"/>
        </w:rPr>
        <w:t>flex</w:t>
      </w:r>
      <w:r>
        <w:t xml:space="preserve"> is unavailable, mark the build </w:t>
      </w:r>
      <w:r>
        <w:rPr>
          <w:rFonts w:ascii="Consolas" w:hAnsi="Consolas"/>
          <w:sz w:val="17"/>
        </w:rPr>
        <w:t>BLOCKED</w:t>
      </w:r>
      <w:r>
        <w:t xml:space="preserve">, not </w:t>
      </w:r>
      <w:r>
        <w:rPr>
          <w:rFonts w:ascii="Consolas" w:hAnsi="Consolas"/>
          <w:sz w:val="17"/>
        </w:rPr>
        <w:t>PASS</w:t>
      </w:r>
      <w:r>
        <w:t>.</w:t>
      </w:r>
    </w:p>
    <w:p>
      <w:pPr>
        <w:pStyle w:val="Heading2"/>
      </w:pPr>
      <w:r>
        <w:t>8.2 Minimal-pair and round-trip matrix</w:t>
      </w:r>
    </w:p>
    <w:p>
      <w:r>
        <w:t>At minimum include:</w:t>
      </w:r>
    </w:p>
    <w:p>
      <w:pPr>
        <w:pStyle w:val="ListBullet"/>
        <w:spacing w:after="40"/>
      </w:pPr>
      <w:r>
        <w:rPr>
          <w:rFonts w:ascii="Consolas" w:hAnsi="Consolas"/>
          <w:sz w:val="17"/>
        </w:rPr>
        <w:t>क</w:t>
      </w:r>
      <w:r>
        <w:t xml:space="preserve">, </w:t>
      </w:r>
      <w:r>
        <w:rPr>
          <w:rFonts w:ascii="Consolas" w:hAnsi="Consolas"/>
          <w:sz w:val="17"/>
        </w:rPr>
        <w:t>का</w:t>
      </w:r>
      <w:r>
        <w:t xml:space="preserve">, </w:t>
      </w:r>
      <w:r>
        <w:rPr>
          <w:rFonts w:ascii="Consolas" w:hAnsi="Consolas"/>
          <w:sz w:val="17"/>
        </w:rPr>
        <w:t>क्</w:t>
      </w:r>
      <w:r>
        <w:t xml:space="preserve">, and explicit </w:t>
      </w:r>
      <w:r>
        <w:rPr>
          <w:rFonts w:ascii="Consolas" w:hAnsi="Consolas"/>
          <w:sz w:val="17"/>
        </w:rPr>
        <w:t>^</w:t>
      </w:r>
      <w:r>
        <w:t xml:space="preserve"> cases according to the native notation.</w:t>
      </w:r>
    </w:p>
    <w:p>
      <w:pPr>
        <w:pStyle w:val="ListBullet"/>
        <w:spacing w:after="40"/>
      </w:pPr>
      <w:r>
        <w:rPr>
          <w:rFonts w:ascii="Consolas" w:hAnsi="Consolas"/>
          <w:sz w:val="17"/>
        </w:rPr>
        <w:t>चेत्</w:t>
      </w:r>
      <w:r>
        <w:t xml:space="preserve">, </w:t>
      </w:r>
      <w:r>
        <w:rPr>
          <w:rFonts w:ascii="Consolas" w:hAnsi="Consolas"/>
          <w:sz w:val="17"/>
        </w:rPr>
        <w:t>सर्वम्</w:t>
      </w:r>
      <w:r>
        <w:t xml:space="preserve">, </w:t>
      </w:r>
      <w:r>
        <w:rPr>
          <w:rFonts w:ascii="Consolas" w:hAnsi="Consolas"/>
          <w:sz w:val="17"/>
        </w:rPr>
        <w:t>पापम्</w:t>
      </w:r>
      <w:r>
        <w:t xml:space="preserve">, </w:t>
      </w:r>
      <w:r>
        <w:rPr>
          <w:rFonts w:ascii="Consolas" w:hAnsi="Consolas"/>
          <w:sz w:val="17"/>
        </w:rPr>
        <w:t>उद्धरणम्</w:t>
      </w:r>
      <w:r>
        <w:t>.</w:t>
      </w:r>
    </w:p>
    <w:p>
      <w:pPr>
        <w:pStyle w:val="ListBullet"/>
        <w:spacing w:after="40"/>
      </w:pPr>
      <w:r>
        <w:rPr>
          <w:rFonts w:ascii="Consolas" w:hAnsi="Consolas"/>
          <w:sz w:val="17"/>
        </w:rPr>
        <w:t>ळ</w:t>
      </w:r>
      <w:r>
        <w:t xml:space="preserve">, </w:t>
      </w:r>
      <w:r>
        <w:rPr>
          <w:rFonts w:ascii="Consolas" w:hAnsi="Consolas"/>
          <w:sz w:val="17"/>
        </w:rPr>
        <w:t>ऌ</w:t>
      </w:r>
      <w:r>
        <w:t xml:space="preserve">, </w:t>
      </w:r>
      <w:r>
        <w:rPr>
          <w:rFonts w:ascii="Consolas" w:hAnsi="Consolas"/>
          <w:sz w:val="17"/>
        </w:rPr>
        <w:t>ॡ</w:t>
      </w:r>
      <w:r>
        <w:t xml:space="preserve">, </w:t>
      </w:r>
      <w:r>
        <w:rPr>
          <w:rFonts w:ascii="Consolas" w:hAnsi="Consolas"/>
          <w:sz w:val="17"/>
        </w:rPr>
        <w:t>ॠ</w:t>
      </w:r>
      <w:r>
        <w:t xml:space="preserve">, </w:t>
      </w:r>
      <w:r>
        <w:rPr>
          <w:rFonts w:ascii="Consolas" w:hAnsi="Consolas"/>
          <w:sz w:val="17"/>
        </w:rPr>
        <w:t>र</w:t>
      </w:r>
      <w:r>
        <w:t>, and related forms.</w:t>
      </w:r>
    </w:p>
    <w:p>
      <w:pPr>
        <w:pStyle w:val="ListBullet"/>
        <w:spacing w:after="40"/>
      </w:pPr>
      <w:r>
        <w:rPr>
          <w:rFonts w:ascii="Consolas" w:hAnsi="Consolas"/>
          <w:sz w:val="17"/>
        </w:rPr>
        <w:t>īḷe</w:t>
      </w:r>
      <w:r>
        <w:t xml:space="preserve"> → </w:t>
      </w:r>
      <w:r>
        <w:rPr>
          <w:rFonts w:ascii="Consolas" w:hAnsi="Consolas"/>
          <w:sz w:val="17"/>
        </w:rPr>
        <w:t>ईळे</w:t>
      </w:r>
      <w:r>
        <w:t>; negative tests for genuine vocalic-L sequences.</w:t>
      </w:r>
    </w:p>
    <w:p>
      <w:pPr>
        <w:pStyle w:val="ListBullet"/>
        <w:spacing w:after="40"/>
      </w:pPr>
      <w:r>
        <w:t>Hyphenated forms and punctuation.</w:t>
      </w:r>
    </w:p>
    <w:p>
      <w:pPr>
        <w:pStyle w:val="ListBullet"/>
        <w:spacing w:after="40"/>
      </w:pPr>
      <w:r>
        <w:t>Devanagari numerals and ASCII numerals.</w:t>
      </w:r>
    </w:p>
    <w:p>
      <w:pPr>
        <w:pStyle w:val="ListBullet"/>
        <w:spacing w:after="40"/>
      </w:pPr>
      <w:r>
        <w:t>Empty text, multiple lines, trailing newline, whitespace, unsupported symbols.</w:t>
      </w:r>
    </w:p>
    <w:p>
      <w:pPr>
        <w:pStyle w:val="ListBullet"/>
        <w:spacing w:after="40"/>
      </w:pPr>
      <w:r>
        <w:t>All current attested fixtures and the BUILD-0024 collision vectors.</w:t>
      </w:r>
    </w:p>
    <w:p>
      <w:r>
        <w:t>For every case record input bytes/code points, source profile, expected output, actual output, exit code, exact-round-trip status, and any loss/rejection.</w:t>
      </w:r>
    </w:p>
    <w:p>
      <w:pPr>
        <w:pStyle w:val="Heading2"/>
      </w:pPr>
      <w:r>
        <w:t>8.3 Differential testing</w:t>
      </w:r>
    </w:p>
    <w:p>
      <w:r>
        <w:t>Run the same test vectors through:</w:t>
      </w:r>
    </w:p>
    <w:p>
      <w:pPr>
        <w:pStyle w:val="ListNumber"/>
        <w:spacing w:after="40"/>
      </w:pPr>
      <w:r>
        <w:t>Tajziya's pinned native Romenagri wrapper.</w:t>
      </w:r>
    </w:p>
    <w:p>
      <w:pPr>
        <w:pStyle w:val="ListNumber"/>
        <w:spacing w:after="40"/>
      </w:pPr>
      <w:r>
        <w:t>The reconstructed Python word-level profile, when available in the working source.</w:t>
      </w:r>
    </w:p>
    <w:p>
      <w:pPr>
        <w:pStyle w:val="ListNumber"/>
        <w:spacing w:after="40"/>
      </w:pPr>
      <w:r>
        <w:t>The IAST/Devanagari adapter.</w:t>
      </w:r>
    </w:p>
    <w:p>
      <w:pPr>
        <w:pStyle w:val="ListNumber"/>
        <w:spacing w:after="40"/>
      </w:pPr>
      <w:r>
        <w:t>The proposed parser pivot.</w:t>
      </w:r>
    </w:p>
    <w:p>
      <w:r>
        <w:t>Compare results only under an explicitly stated shared contract. Classify differences as profile mismatch, unsupported input, collision, information loss, normalization difference, or unresolved. Do not “fix” the implementations merely to force byte-for-byte equality.</w:t>
      </w:r>
    </w:p>
    <w:p>
      <w:pPr>
        <w:pStyle w:val="Heading2"/>
      </w:pPr>
      <w:r>
        <w:t>8.4 Tajziya conformance</w:t>
      </w:r>
    </w:p>
    <w:p>
      <w:r>
        <w:t>Run:</w:t>
      </w:r>
    </w:p>
    <w:p>
      <w:pPr>
        <w:spacing w:after="120"/>
        <w:ind w:left="317"/>
      </w:pPr>
      <w:r>
        <w:rPr>
          <w:rFonts w:ascii="Consolas" w:hAnsi="Consolas"/>
          <w:sz w:val="16"/>
        </w:rPr>
        <w:t>PYTHONPATH=src python3 -m unittest tests.test_p_san_01</w:t>
        <w:br/>
        <w:t>bash ops/verify.sh</w:t>
        <w:br/>
        <w:t>PYTHONPATH=src python3 -m tajziya accept modules/cls --integration</w:t>
        <w:br/>
        <w:t>make check</w:t>
      </w:r>
    </w:p>
    <w:p>
      <w:r>
        <w:t xml:space="preserve">Run </w:t>
      </w:r>
      <w:r>
        <w:rPr>
          <w:rFonts w:ascii="Consolas" w:hAnsi="Consolas"/>
          <w:sz w:val="17"/>
        </w:rPr>
        <w:t>make deps &amp;&amp; make check</w:t>
      </w:r>
      <w:r>
        <w:t xml:space="preserve"> when validating the full dependency spine. Capture complete logs and versions. Existing tests may have different names in the current checkout; inspect before running and use the actual declared acceptance command.</w:t>
      </w:r>
    </w:p>
    <w:p>
      <w:pPr>
        <w:pStyle w:val="Heading2"/>
      </w:pPr>
      <w:r>
        <w:t>8.5 Result taxonomy</w:t>
      </w:r>
    </w:p>
    <w:p>
      <w:r>
        <w:t>Every test must be classified as:</w:t>
      </w:r>
    </w:p>
    <w:p>
      <w:pPr>
        <w:pStyle w:val="ListBullet"/>
        <w:spacing w:after="40"/>
      </w:pPr>
      <w:r>
        <w:rPr>
          <w:rFonts w:ascii="Consolas" w:hAnsi="Consolas"/>
          <w:sz w:val="17"/>
        </w:rPr>
        <w:t>PASS</w:t>
      </w:r>
      <w:r>
        <w:t>: executed and passed.</w:t>
      </w:r>
    </w:p>
    <w:p>
      <w:pPr>
        <w:pStyle w:val="ListBullet"/>
        <w:spacing w:after="40"/>
      </w:pPr>
      <w:r>
        <w:rPr>
          <w:rFonts w:ascii="Consolas" w:hAnsi="Consolas"/>
          <w:sz w:val="17"/>
        </w:rPr>
        <w:t>FAIL</w:t>
      </w:r>
      <w:r>
        <w:t>: executed and failed.</w:t>
      </w:r>
    </w:p>
    <w:p>
      <w:pPr>
        <w:pStyle w:val="ListBullet"/>
        <w:spacing w:after="40"/>
      </w:pPr>
      <w:r>
        <w:rPr>
          <w:rFonts w:ascii="Consolas" w:hAnsi="Consolas"/>
          <w:sz w:val="17"/>
        </w:rPr>
        <w:t>BLOCKED</w:t>
      </w:r>
      <w:r>
        <w:t>: a real dependency/prerequisite prevented execution.</w:t>
      </w:r>
    </w:p>
    <w:p>
      <w:pPr>
        <w:pStyle w:val="ListBullet"/>
        <w:spacing w:after="40"/>
      </w:pPr>
      <w:r>
        <w:rPr>
          <w:rFonts w:ascii="Consolas" w:hAnsi="Consolas"/>
          <w:sz w:val="17"/>
        </w:rPr>
        <w:t>SKIPPED</w:t>
      </w:r>
      <w:r>
        <w:t>: intentionally not executed, with reason.</w:t>
      </w:r>
    </w:p>
    <w:p>
      <w:pPr>
        <w:pStyle w:val="ListBullet"/>
        <w:spacing w:after="40"/>
      </w:pPr>
      <w:r>
        <w:rPr>
          <w:rFonts w:ascii="Consolas" w:hAnsi="Consolas"/>
          <w:sz w:val="17"/>
        </w:rPr>
        <w:t>NOT RUN</w:t>
      </w:r>
      <w:r>
        <w:t>: not attempted.</w:t>
      </w:r>
    </w:p>
    <w:p>
      <w:r>
        <w:t>Never translate an unavailable dependency into a pass, and never claim the native implementation is verified just because the reconstructed Python profile passes.</w:t>
      </w:r>
    </w:p>
    <w:p>
      <w:pPr>
        <w:pStyle w:val="Heading1"/>
      </w:pPr>
      <w:r>
        <w:t>9. Licensing, provenance, and repository discipline</w:t>
      </w:r>
    </w:p>
    <w:p>
      <w:r>
        <w:t>Tajziya's README describes code as GPL-3.0-or-later, documents as CC-BY-SA-4.0, and registry/metadata as CC0-1.0 except the copied ILM registry; vendored components retain their own licences. The native Romenagri upstream metadata identifies GPL-2.0-or-later. Preserve its licence and attribution.</w:t>
      </w:r>
    </w:p>
    <w:p>
      <w:r>
        <w:t>MW source data and RV text require their own provenance and licence assessment. Do not commit a large external corpus into Tajziya merely because it was available in a local archive. The current Tajziya contract requires every data source to be identified and licensed; restricted material must not be redistributed.</w:t>
      </w:r>
    </w:p>
    <w:p>
      <w:r>
        <w:t xml:space="preserve">All module code should import only </w:t>
      </w:r>
      <w:r>
        <w:rPr>
          <w:rFonts w:ascii="Consolas" w:hAnsi="Consolas"/>
          <w:sz w:val="17"/>
        </w:rPr>
        <w:t>tajziya.api</w:t>
      </w:r>
      <w:r>
        <w:t xml:space="preserve">. Any new stable API service must have tests, versioning, and an explicit compatibility contract. The registry—not caller code—selects implementations. Any package/work packet must retain its acceptance command, source records, and required append-only configuration ledger. Do not edit generated state in ways that bypass </w:t>
      </w:r>
      <w:r>
        <w:rPr>
          <w:rFonts w:ascii="Consolas" w:hAnsi="Consolas"/>
          <w:sz w:val="17"/>
        </w:rPr>
        <w:t>make check</w:t>
      </w:r>
      <w:r>
        <w:t xml:space="preserve"> or </w:t>
      </w:r>
      <w:r>
        <w:rPr>
          <w:rFonts w:ascii="Consolas" w:hAnsi="Consolas"/>
          <w:sz w:val="17"/>
        </w:rPr>
        <w:t>ops/verify.sh</w:t>
      </w:r>
      <w:r>
        <w:t>.</w:t>
      </w:r>
    </w:p>
    <w:p>
      <w:pPr>
        <w:pStyle w:val="Heading1"/>
      </w:pPr>
      <w:r>
        <w:t>10. Decisions requested from Claude</w:t>
      </w:r>
    </w:p>
    <w:p>
      <w:r>
        <w:t>Claude should return an evidence-based engineering response that answers:</w:t>
      </w:r>
    </w:p>
    <w:p>
      <w:pPr>
        <w:pStyle w:val="ListNumber"/>
        <w:spacing w:after="40"/>
      </w:pPr>
      <w:r>
        <w:t xml:space="preserve">What is the smallest correct P-SAN-01 implementation given Tajziya's current </w:t>
      </w:r>
      <w:r>
        <w:rPr>
          <w:rFonts w:ascii="Consolas" w:hAnsi="Consolas"/>
          <w:sz w:val="17"/>
        </w:rPr>
        <w:t>romenagri.py</w:t>
      </w:r>
      <w:r>
        <w:t xml:space="preserve"> and the Sanskrit parser's current internal representation?</w:t>
      </w:r>
    </w:p>
    <w:p>
      <w:pPr>
        <w:pStyle w:val="ListNumber"/>
        <w:spacing w:after="40"/>
      </w:pPr>
      <w:r>
        <w:t>What adapter is required between native Romenagri output and the segmenter's IAST/internal form, and what is the evidence for each mapping?</w:t>
      </w:r>
    </w:p>
    <w:p>
      <w:pPr>
        <w:pStyle w:val="ListNumber"/>
        <w:spacing w:after="40"/>
      </w:pPr>
      <w:r>
        <w:t>Which behavior should be preserved exactly for backward compatibility, and which should be exposed through a stricter structured service?</w:t>
      </w:r>
    </w:p>
    <w:p>
      <w:pPr>
        <w:pStyle w:val="ListNumber"/>
        <w:spacing w:after="40"/>
      </w:pPr>
      <w:r>
        <w:t>Should the API façade expose a stable pivot/romenagri service, and what API versioning changes would follow?</w:t>
      </w:r>
    </w:p>
    <w:p>
      <w:pPr>
        <w:pStyle w:val="ListNumber"/>
        <w:spacing w:after="40"/>
      </w:pPr>
      <w:r>
        <w:t xml:space="preserve">How should the </w:t>
      </w:r>
      <w:r>
        <w:rPr>
          <w:rFonts w:ascii="Consolas" w:hAnsi="Consolas"/>
          <w:sz w:val="17"/>
        </w:rPr>
        <w:t>īḷe</w:t>
      </w:r>
      <w:r>
        <w:t xml:space="preserve"> correction be narrowed or tested so it cannot corrupt genuine vocalic-L sequences?</w:t>
      </w:r>
    </w:p>
    <w:p>
      <w:pPr>
        <w:pStyle w:val="ListNumber"/>
        <w:spacing w:after="40"/>
      </w:pPr>
      <w:r>
        <w:t>What is the smallest test fixture that demonstrates the native C/Python profile boundary and terminal-virāma behavior?</w:t>
      </w:r>
    </w:p>
    <w:p>
      <w:pPr>
        <w:pStyle w:val="ListNumber"/>
        <w:spacing w:after="40"/>
      </w:pPr>
      <w:r>
        <w:t>Which data may be committed under current licences, and which should remain as local-only or externally referenced test fixtures?</w:t>
      </w:r>
    </w:p>
    <w:p>
      <w:pPr>
        <w:pStyle w:val="ListNumber"/>
        <w:spacing w:after="40"/>
      </w:pPr>
      <w:r>
        <w:t>Which existing package/quest/ledger files need updating for a conformant implementation?</w:t>
      </w:r>
    </w:p>
    <w:p>
      <w:pPr>
        <w:pStyle w:val="ListNumber"/>
        <w:spacing w:after="40"/>
      </w:pPr>
      <w:r>
        <w:t>What exact commands will demonstrate P-SAN-01, module integration acceptance, and the full repository gate?</w:t>
      </w:r>
    </w:p>
    <w:p>
      <w:pPr>
        <w:pStyle w:val="ListNumber"/>
        <w:spacing w:after="40"/>
      </w:pPr>
      <w:r>
        <w:t xml:space="preserve">What remains honestly </w:t>
      </w:r>
      <w:r>
        <w:rPr>
          <w:rFonts w:ascii="Consolas" w:hAnsi="Consolas"/>
          <w:sz w:val="17"/>
        </w:rPr>
        <w:t>not_built</w:t>
      </w:r>
      <w:r>
        <w:t xml:space="preserve"> after the pivot is accepted?</w:t>
      </w:r>
    </w:p>
    <w:p>
      <w:r>
        <w:t xml:space="preserve">Claude should not claim that this handover itself modifies Tajziya. It is a development plan and evidence report. Any code change must be made against a freshly inspected checkout of </w:t>
      </w:r>
      <w:r>
        <w:rPr>
          <w:rFonts w:ascii="Consolas" w:hAnsi="Consolas"/>
          <w:sz w:val="17"/>
        </w:rPr>
        <w:t>zistgah/tajziya</w:t>
      </w:r>
      <w:r>
        <w:t xml:space="preserve"> and returned with a per-file change manifest, test logs, and provenance.</w:t>
      </w:r>
    </w:p>
    <w:p>
      <w:pPr>
        <w:pStyle w:val="Heading1"/>
      </w:pPr>
      <w:r>
        <w:t>11. Immediate Claude task brief (copy/paste)</w:t>
      </w:r>
    </w:p>
    <w:p>
      <w:pPr>
        <w:ind w:left="403" w:right="288"/>
      </w:pPr>
      <w:r>
        <w:rPr>
          <w:i/>
        </w:rPr>
        <w:t>Work in `zistgah/tajziya`, default branch `main`. Read `README.md`, `CONTRACT.md`, `CONTEXT.md`, `src/tajziya/api.py`, `src/tajziya/romenagri.py`, `modules/cls/module.json`, `modules/cls/python/sanskrit_paninian_v0/__init__.py`, `registry/bindings.json`, `registry/engines.json`, `roadmap/packages.json`, and the relevant packet/quest/ledger files before coding.</w:t>
      </w:r>
    </w:p>
    <w:p>
      <w:r>
        <w:t>&gt;</w:t>
      </w:r>
    </w:p>
    <w:p>
      <w:pPr>
        <w:ind w:left="403" w:right="288"/>
      </w:pPr>
      <w:r>
        <w:rPr>
          <w:i/>
        </w:rPr>
        <w:t>Treat this report and the BUILD-0025/0026/0027 artifacts as evidence, not as authority to bypass repository contracts. Preserve the pinned native Romenagri implementation. Do not replace it with the reconstructed Python profile. First propose a minimal implementation plan for P-SAN-01, including the exact path from Devanagari through Romenagri to the parser's internal representation. Prove the adapter rather than assuming Romenagri equals IAST. Keep unbuilt layers refusing by name.</w:t>
      </w:r>
    </w:p>
    <w:p>
      <w:r>
        <w:t>&gt;</w:t>
      </w:r>
    </w:p>
    <w:p>
      <w:pPr>
        <w:ind w:left="403" w:right="288"/>
      </w:pPr>
      <w:r>
        <w:rPr>
          <w:i/>
        </w:rPr>
        <w:t>Before changing code, reconcile the corrected BUILD-0027 audit: 287,432 MW records, 287,312 converted, 120 rejected; 47 RV occurrences, 38 full and 9 rejected/retained as IAST; ten exact-token matches, nine distinct IDs, 50/436 code-point ratio. Treat the `īḷe` upstream correction as tested but examine the global replacement for collateral effects on genuine vocalic-L forms. The current correction package does not contain all regenerated experiment outputs, so do not claim full reproducibility until the corpus-generation script and outputs are available.</w:t>
      </w:r>
    </w:p>
    <w:p>
      <w:r>
        <w:t>&gt;</w:t>
      </w:r>
    </w:p>
    <w:p>
      <w:pPr>
        <w:ind w:left="403" w:right="288"/>
      </w:pPr>
      <w:r>
        <w:rPr>
          <w:i/>
        </w:rPr>
        <w:t>Use the existing packet acceptance command and repository verification gate. Make no unrelated changes, do not commit restricted data, and do not mark a layer built until its tests prove the contract. Return: (a) a concise architecture decision, (b) a per-file implementation plan, (c) exact tests and commands, (d) a risk/unknown list, and (e) only then, if the plan is sound, a minimal patch with full logs and a change manifest.</w:t>
      </w:r>
    </w:p>
    <w:p>
      <w:pPr>
        <w:pStyle w:val="Heading1"/>
      </w:pPr>
      <w:r>
        <w:t>12. Source and artifact ledger</w:t>
      </w:r>
    </w:p>
    <w:p>
      <w:pPr>
        <w:pStyle w:val="Heading2"/>
      </w:pPr>
      <w:r>
        <w:t>Project sources reviewed</w:t>
      </w:r>
    </w:p>
    <w:p>
      <w:pPr>
        <w:pStyle w:val="ListBullet"/>
        <w:spacing w:after="40"/>
      </w:pPr>
      <w:r>
        <w:rPr>
          <w:rFonts w:ascii="Consolas" w:hAnsi="Consolas"/>
          <w:sz w:val="17"/>
        </w:rPr>
        <w:t>zistgah/tajziya</w:t>
      </w:r>
      <w:r>
        <w:t xml:space="preserve"> public </w:t>
      </w:r>
      <w:r>
        <w:rPr>
          <w:rFonts w:ascii="Consolas" w:hAnsi="Consolas"/>
          <w:sz w:val="17"/>
        </w:rPr>
        <w:t>main</w:t>
      </w:r>
      <w:r>
        <w:t>: README, CONTRACT, CONTEXT, API, Romenagri wrapper, Sanskrit port and manifest, registry, engines, and roadmap package definitions, retrieved on 14 October 2026.</w:t>
      </w:r>
    </w:p>
    <w:p>
      <w:pPr>
        <w:pStyle w:val="ListBullet"/>
        <w:spacing w:after="40"/>
      </w:pPr>
      <w:r>
        <w:rPr>
          <w:rFonts w:ascii="Consolas" w:hAnsi="Consolas"/>
          <w:sz w:val="17"/>
        </w:rPr>
        <w:t>vendor/romenagri/UPSTREAM.json</w:t>
      </w:r>
      <w:r>
        <w:t>: pinned native source and licence metadata in Tajziya.</w:t>
      </w:r>
    </w:p>
    <w:p>
      <w:pPr>
        <w:pStyle w:val="ListBullet"/>
        <w:spacing w:after="40"/>
      </w:pPr>
      <w:r>
        <w:t>BUILD-0024 test report, collision report, and research strategy from the available local artifacts.</w:t>
      </w:r>
    </w:p>
    <w:p>
      <w:pPr>
        <w:pStyle w:val="ListBullet"/>
        <w:spacing w:after="40"/>
      </w:pPr>
      <w:r>
        <w:t>BUILD-0027-RESULTS and BUILD-0027-CORRECTION ZIP archives and their included audit files.</w:t>
      </w:r>
    </w:p>
    <w:p>
      <w:pPr>
        <w:pStyle w:val="Heading2"/>
      </w:pPr>
      <w:r>
        <w:t>Local archive hashes</w:t>
      </w:r>
    </w:p>
    <w:p>
      <w:pPr>
        <w:spacing w:after="120"/>
        <w:ind w:left="317"/>
      </w:pPr>
      <w:r>
        <w:rPr>
          <w:rFonts w:ascii="Consolas" w:hAnsi="Consolas"/>
          <w:sz w:val="16"/>
        </w:rPr>
        <w:t>BUILD-0025__pushkalavati-hindawi-ilm-2026-10-14.zip</w:t>
        <w:br/>
        <w:t>4f158697bcd891053a21b1a9ecebf33f7d5261a7a0de53e553330f05d22f3c25</w:t>
        <w:br/>
        <w:br/>
        <w:t>BUILD-0026__pushkalavati-hindawi-ilm-2026-10-14.zip</w:t>
        <w:br/>
        <w:t>64bf96b15f8459b0ee6bf0326e8df656a67dab87c8e65e383e286cbdcc048ea5</w:t>
        <w:br/>
        <w:br/>
        <w:t>BUILD-0027-RESULTS.zip</w:t>
        <w:br/>
        <w:t>fa53c87b160a482f282dc9b0d646825365c2f1e686a30fda3efe522cab825958</w:t>
        <w:br/>
        <w:br/>
        <w:t>BUILD-0027-CORRECTION.zip</w:t>
        <w:br/>
        <w:t>15f6229f55f081e2fa0e52acc85fdb7fb7c50e1dd23b6a82db5382f61b61fd06</w:t>
      </w:r>
    </w:p>
    <w:p>
      <w:pPr>
        <w:pStyle w:val="Heading2"/>
      </w:pPr>
      <w:r>
        <w:t>Important evidence limits</w:t>
      </w:r>
    </w:p>
    <w:p>
      <w:pPr>
        <w:pStyle w:val="ListBullet"/>
        <w:spacing w:after="40"/>
      </w:pPr>
      <w:r>
        <w:t>No Tajziya source files were modified while preparing this handover.</w:t>
      </w:r>
    </w:p>
    <w:p>
      <w:pPr>
        <w:pStyle w:val="ListBullet"/>
        <w:spacing w:after="40"/>
      </w:pPr>
      <w:r>
        <w:t xml:space="preserve">The public </w:t>
      </w:r>
      <w:r>
        <w:rPr>
          <w:rFonts w:ascii="Consolas" w:hAnsi="Consolas"/>
          <w:sz w:val="17"/>
        </w:rPr>
        <w:t>main</w:t>
      </w:r>
      <w:r>
        <w:t xml:space="preserve"> branch was inspected through the GitHub connector; no local Tajziya build or test was run in this task.</w:t>
      </w:r>
    </w:p>
    <w:p>
      <w:pPr>
        <w:pStyle w:val="ListBullet"/>
        <w:spacing w:after="40"/>
      </w:pPr>
      <w:r>
        <w:t>BUILD-0027 correction test outcomes are reported by Grok and supported by included logs/audit files, but the complete regenerated corpus and experiment output directory were not present in the correction archive.</w:t>
      </w:r>
    </w:p>
    <w:p>
      <w:pPr>
        <w:pStyle w:val="ListBullet"/>
        <w:spacing w:after="40"/>
      </w:pPr>
      <w:r>
        <w:t>The Romenagri/Python/native compatibility boundary remains a test target, not a solved equivalence claim.</w:t>
      </w:r>
    </w:p>
    <w:p>
      <w:pPr>
        <w:pStyle w:val="ListBullet"/>
        <w:spacing w:after="40"/>
      </w:pPr>
      <w:r>
        <w:t>No universal phonetic or lexical coverage claim is made.</w:t>
      </w:r>
    </w:p>
    <w:p>
      <w:pPr>
        <w:pStyle w:val="Heading1"/>
      </w:pPr>
      <w:r>
        <w:t>Final recommendation</w:t>
      </w:r>
    </w:p>
    <w:p>
      <w:r>
        <w:t xml:space="preserve">Start with </w:t>
      </w:r>
      <w:r>
        <w:rPr>
          <w:b/>
        </w:rPr>
        <w:t>P-SAN-01</w:t>
      </w:r>
      <w:r>
        <w:t>, because it is already the repository's named acceptance unit for the exact missing capability: Devanagari input through Romenagri to the Sanskrit segmenter's internal representation. Preserve the pinned native implementation; make the representation bridge explicit; build strict rejection, provenance, and round-trip tests around it. Once this path is accepted, extract reusable script mechanisms into P-ENG-09 or P-L1-01 as appropriate. Do not treat the current MW/RV literal-matching experiment as morphology, and do not use unsupported character behavior as a reason to silently flatten orthographic distinctions.</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3"/>
        <w:sz w:val="15"/>
      </w:rPr>
      <w:t>Technical handover for Claude • 14 October 2026 • No source changes made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3"/>
        <w:sz w:val="15"/>
      </w:rPr>
      <w:t>HINDAWI • ROMENAGRI • DEVANAGARI • TAJZIYA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F5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3F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F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F5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Hindavi / Hindawi, Romenagri, Devanagari and Tajziya — Final Technical Handover for Claude</dc:title>
  <dc:subject>Implementation status, BUILD-0027 audit, and Tajziya integration plan</dc:subject>
  <dc:creator>AyeAI / project handover</dc:creator>
  <cp:keywords>Hindawi, Hindavi, Romenagri, Devanagari, Tajziya, ILM, Sanskrit, transliteration, Nirgundi</cp:keywords>
  <dc:description>generated by python-docx</dc:description>
  <cp:lastModifiedBy/>
  <cp:revision>1</cp:revision>
  <dcterms:created xsi:type="dcterms:W3CDTF">2013-12-23T23:15:00Z</dcterms:created>
  <dcterms:modified xsi:type="dcterms:W3CDTF">2013-12-23T23:15:00Z</dcterms:modified>
  <cp:category/>
</cp:coreProperties>
</file>