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Bio-CBAM Revisited</w:t>
      </w:r>
    </w:p>
    <w:p>
      <w:pPr>
        <w:pStyle w:val="MdParagraph"/>
      </w:pPr>
      <w:r>
        <w:rPr>
          <w:rStyle w:val="MdStrong"/>
          <w:b/>
          <w:bCs/>
        </w:rPr>
        <w:t xml:space="preserve">A reproducible cross-modal prior attention mechanism for facial expression recognition</w:t>
      </w:r>
    </w:p>
    <w:p>
      <w:pPr>
        <w:pStyle w:val="MdSpace"/>
        <w:spacing w:before="0" w:after="60"/>
      </w:pPr>
    </w:p>
    <w:p>
      <w:pPr>
        <w:pStyle w:val="MdParagraph"/>
      </w:pPr>
      <w:r>
        <w:t xml:space="preserve">This repository contains the implementation, training pipeline, ablations, and analysis tools used for the revised Bio-CBAM study. The revision was designed as a reproducibility and falsification exercise: every reported result is tied to a frozen configuration, a stored prediction file, and a documented data-provenance record.</w:t>
      </w:r>
    </w:p>
    <w:p>
      <w:pPr>
        <w:pStyle w:val="MdSpace"/>
        <w:spacing w:before="0" w:after="60"/>
      </w:pPr>
    </w:p>
    <w:p>
      <w:pPr>
        <w:pStyle w:val="MdBlockquote"/>
      </w:pPr>
      <w:r>
        <w:rPr>
          <w:rStyle w:val="MdStrong"/>
          <w:b/>
          <w:bCs/>
        </w:rPr>
        <w:t xml:space="preserve">Scientific scope.</w:t>
      </w:r>
      <w:r>
        <w:t xml:space="preserve"> The R3 method does </w:t>
      </w:r>
      <w:r>
        <w:rPr>
          <w:rStyle w:val="MdStrong"/>
          <w:b/>
          <w:bCs/>
        </w:rPr>
        <w:t xml:space="preserve">not</w:t>
      </w:r>
      <w:r>
        <w:t xml:space="preserve"> claim an anatomical brain-to-face mapping. It does not use Thin-Plate Spline (TPS) warping in the reported experiments. Public group-level fMRI maps provide only condition-level weights, while face-space geometry comes from an independent behavioral study of diagnostic facial regions. The two coordinate systems are never treated as anatomically corresponding.</w:t>
      </w:r>
    </w:p>
    <w:p>
      <w:pPr>
        <w:pStyle w:val="MdSpace"/>
        <w:spacing w:before="0" w:after="60"/>
      </w:pPr>
    </w:p>
    <w:p>
      <w:pPr>
        <w:pStyle w:val="Heading2"/>
        <w:pStyle w:val="MdHeading2"/>
      </w:pPr>
      <w:r>
        <w:t xml:space="preserve">Main result</w:t>
      </w:r>
    </w:p>
    <w:p>
      <w:pPr>
        <w:pStyle w:val="MdParagraph"/>
      </w:pPr>
      <w:r>
        <w:t xml:space="preserve">Under the fixed CPU-budget protocol used in the manuscript, the fMRI-weighted prior did </w:t>
      </w:r>
      <w:r>
        <w:rPr>
          <w:rStyle w:val="MdStrong"/>
          <w:b/>
          <w:bCs/>
        </w:rPr>
        <w:t xml:space="preserve">not</w:t>
      </w:r>
      <w:r>
        <w:t xml:space="preserve"> significantly outperform the matched ResNet, CBAM, behavioral-prior, generic-saliency, or random-matched controls. This negative result is reported transparently. The contribution is therefore the auditable cross-modal mechanism, the matched controls, and the evidence showing the conditions under which the external prior does or does not help.</w:t>
      </w:r>
    </w:p>
    <w:p>
      <w:pPr>
        <w:pStyle w:val="MdSpace"/>
        <w:spacing w:before="0" w:after="60"/>
      </w:pPr>
    </w:p>
    <w:p>
      <w:pPr>
        <w:pStyle w:val="MdParagraph"/>
      </w:pPr>
      <w:r>
        <w:t xml:space="preserve">The archived study comprises </w:t>
      </w:r>
      <w:r>
        <w:rPr>
          <w:rStyle w:val="MdStrong"/>
          <w:b/>
          <w:bCs/>
        </w:rPr>
        <w:t xml:space="preserve">58 controlled training runs</w:t>
      </w:r>
      <w:r>
        <w:t xml:space="preserve"> and </w:t>
      </w:r>
      <w:r>
        <w:rPr>
          <w:rStyle w:val="MdStrong"/>
          <w:b/>
          <w:bCs/>
        </w:rPr>
        <w:t xml:space="preserve">15 direct FER-2013-to-JAFFE evaluations without adaptation</w:t>
      </w:r>
      <w:r>
        <w:t xml:space="preserve">, producing 73 stored prediction sets.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Evaluation protocol</w:t>
            </w:r>
          </w:p>
        </w:tc>
        <w:tc>
          <w:tcPr>
            <w:tcMar>
              <w:top w:type="dxa" w:w="100"/>
              <w:left w:type="dxa" w:w="120"/>
              <w:bottom w:type="dxa" w:w="100"/>
              <w:right w:type="dxa" w:w="120"/>
            </w:tcMar>
            <w:vAlign w:val="center"/>
          </w:tcPr>
          <w:p>
            <w:pPr>
              <w:pStyle w:val="MdTableHeader"/>
              <w:jc w:val="right"/>
            </w:pPr>
            <w:r>
              <w:t xml:space="preserve">Replication unit</w:t>
            </w:r>
          </w:p>
        </w:tc>
        <w:tc>
          <w:tcPr>
            <w:tcBorders>
              <w:right w:val="none"/>
            </w:tcBorders>
            <w:tcMar>
              <w:top w:type="dxa" w:w="100"/>
              <w:left w:type="dxa" w:w="120"/>
              <w:bottom w:type="dxa" w:w="100"/>
              <w:right w:type="dxa" w:w="120"/>
            </w:tcMar>
            <w:vAlign w:val="center"/>
          </w:tcPr>
          <w:p>
            <w:pPr>
              <w:pStyle w:val="MdTableHeader"/>
            </w:pPr>
            <w:r>
              <w:t xml:space="preserve">Compared conditions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FER-2013, official seven classes</w:t>
            </w:r>
          </w:p>
        </w:tc>
        <w:tc>
          <w:tcPr>
            <w:tcMar>
              <w:top w:type="dxa" w:w="80"/>
              <w:left w:type="dxa" w:w="120"/>
              <w:bottom w:type="dxa" w:w="80"/>
              <w:right w:type="dxa" w:w="120"/>
            </w:tcMar>
            <w:vAlign w:val="center"/>
          </w:tcPr>
          <w:p>
            <w:pPr>
              <w:pStyle w:val="MdTableCell"/>
              <w:jc w:val="right"/>
            </w:pPr>
            <w:r>
              <w:t xml:space="preserve">3 paired seeds</w:t>
            </w:r>
          </w:p>
        </w:tc>
        <w:tc>
          <w:tcPr>
            <w:tcBorders>
              <w:right w:val="none"/>
            </w:tcBorders>
            <w:tcMar>
              <w:top w:type="dxa" w:w="80"/>
              <w:left w:type="dxa" w:w="120"/>
              <w:bottom w:type="dxa" w:w="80"/>
              <w:right w:type="dxa" w:w="120"/>
            </w:tcMar>
            <w:vAlign w:val="center"/>
          </w:tcPr>
          <w:p>
            <w:pPr>
              <w:pStyle w:val="MdTableCell"/>
            </w:pPr>
            <w:r>
              <w:t xml:space="preserve">ResNet, CBAM, generic saliency, equal-weight face prior, fMRI-weighted face prior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FER-2013, strict four-class subset</w:t>
            </w:r>
          </w:p>
        </w:tc>
        <w:tc>
          <w:tcPr>
            <w:tcMar>
              <w:top w:type="dxa" w:w="80"/>
              <w:left w:type="dxa" w:w="120"/>
              <w:bottom w:type="dxa" w:w="80"/>
              <w:right w:type="dxa" w:w="120"/>
            </w:tcMar>
            <w:vAlign w:val="center"/>
          </w:tcPr>
          <w:p>
            <w:pPr>
              <w:pStyle w:val="MdTableCell"/>
              <w:jc w:val="right"/>
            </w:pPr>
            <w:r>
              <w:t xml:space="preserve">3 paired seeds</w:t>
            </w:r>
          </w:p>
        </w:tc>
        <w:tc>
          <w:tcPr>
            <w:tcBorders>
              <w:right w:val="none"/>
            </w:tcBorders>
            <w:tcMar>
              <w:top w:type="dxa" w:w="80"/>
              <w:left w:type="dxa" w:w="120"/>
              <w:bottom w:type="dxa" w:w="80"/>
              <w:right w:type="dxa" w:w="120"/>
            </w:tcMar>
            <w:vAlign w:val="center"/>
          </w:tcPr>
          <w:p>
            <w:pPr>
              <w:pStyle w:val="MdTableCell"/>
            </w:pPr>
            <w:r>
              <w:t xml:space="preserve">The five conditions above plus a trained value-distribution-matched random prior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JAFFE</w:t>
            </w:r>
          </w:p>
        </w:tc>
        <w:tc>
          <w:tcPr>
            <w:tcMar>
              <w:top w:type="dxa" w:w="80"/>
              <w:left w:type="dxa" w:w="120"/>
              <w:bottom w:type="dxa" w:w="80"/>
              <w:right w:type="dxa" w:w="120"/>
            </w:tcMar>
            <w:vAlign w:val="center"/>
          </w:tcPr>
          <w:p>
            <w:pPr>
              <w:pStyle w:val="MdTableCell"/>
              <w:jc w:val="right"/>
            </w:pPr>
            <w:r>
              <w:t xml:space="preserve">5 subject-disjoint folds</w:t>
            </w:r>
          </w:p>
        </w:tc>
        <w:tc>
          <w:tcPr>
            <w:tcBorders>
              <w:right w:val="none"/>
            </w:tcBorders>
            <w:tcMar>
              <w:top w:type="dxa" w:w="80"/>
              <w:left w:type="dxa" w:w="120"/>
              <w:bottom w:type="dxa" w:w="80"/>
              <w:right w:type="dxa" w:w="120"/>
            </w:tcMar>
            <w:vAlign w:val="center"/>
          </w:tcPr>
          <w:p>
            <w:pPr>
              <w:pStyle w:val="MdTableCell"/>
            </w:pPr>
            <w:r>
              <w:t xml:space="preserve">ResNet, CBAM, generic saliency, equal-weight face prior, fMRI-weighted face prior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FER-2013 → JAFFE</w:t>
            </w:r>
          </w:p>
        </w:tc>
        <w:tc>
          <w:tcPr>
            <w:tcBorders>
              <w:bottom w:val="single" w:color="E1E4E8" w:sz="4"/>
            </w:tcBorders>
            <w:tcMar>
              <w:top w:type="dxa" w:w="80"/>
              <w:left w:type="dxa" w:w="120"/>
              <w:bottom w:type="dxa" w:w="80"/>
              <w:right w:type="dxa" w:w="120"/>
            </w:tcMar>
            <w:vAlign w:val="center"/>
          </w:tcPr>
          <w:p>
            <w:pPr>
              <w:pStyle w:val="MdTableCell"/>
              <w:jc w:val="right"/>
            </w:pPr>
            <w:r>
              <w:t xml:space="preserve">15 frozen FER checkpoints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Direct evaluation without adaptation or JAFFE-based model selection</w:t>
            </w:r>
          </w:p>
        </w:tc>
      </w:tr>
    </w:tbl>
    <w:p>
      <w:pPr>
        <w:pStyle w:val="MdParagraph"/>
      </w:pPr>
      <w:r>
        <w:t xml:space="preserve">The historical values reported in earlier manuscript drafts—94.7%, 96.3%, and 93.7%—are </w:t>
      </w:r>
      <w:r>
        <w:rPr>
          <w:rStyle w:val="MdStrong"/>
          <w:b/>
          <w:bCs/>
        </w:rPr>
        <w:t xml:space="preserve">not</w:t>
      </w:r>
      <w:r>
        <w:t xml:space="preserve"> part of this repository or the revised manuscript because their original experimental artifacts were unavailable for independent verification.</w:t>
      </w:r>
    </w:p>
    <w:p>
      <w:pPr>
        <w:pStyle w:val="MdSpace"/>
        <w:spacing w:before="0" w:after="60"/>
      </w:pPr>
    </w:p>
    <w:p>
      <w:pPr>
        <w:pStyle w:val="Heading2"/>
        <w:pStyle w:val="MdHeading2"/>
      </w:pPr>
      <w:r>
        <w:t xml:space="preserve">Method</w:t>
      </w:r>
    </w:p>
    <w:p>
      <w:pPr>
        <w:pStyle w:val="MdParagraph"/>
      </w:pPr>
      <w:r>
        <w:t xml:space="preserve">Bio-CBAM extends a ResNet backbone with channel and spatial attention after each residual stage. For stage </w:t>
      </w:r>
      <w:r>
        <w:t xml:space="preserve">(</w:t>
      </w:r>
      <w:r>
        <w:t xml:space="preserve">b</w:t>
      </w:r>
      <w:r>
        <w:t xml:space="preserve">)</w:t>
      </w:r>
      <w:r>
        <w:t xml:space="preserve">, the external prior </w:t>
      </w:r>
      <w:r>
        <w:t xml:space="preserve">(</w:t>
      </w:r>
      <w:r>
        <w:t xml:space="preserve">H_b</w:t>
      </w:r>
      <w:r>
        <w:t xml:space="preserve">)</w:t>
      </w:r>
      <w:r>
        <w:t xml:space="preserve"> is resized to the spatial-attention resolution and added to the learned spatial logits </w:t>
      </w:r>
      <w:r>
        <w:t xml:space="preserve">(</w:t>
      </w:r>
      <w:r>
        <w:t xml:space="preserve">Z_b</w:t>
      </w:r>
      <w:r>
        <w:t xml:space="preserve">)</w:t>
      </w:r>
      <w:r>
        <w:t xml:space="preserve"> through an independent trainable scalar gate </w:t>
      </w:r>
      <w:r>
        <w:t xml:space="preserve">(</w:t>
      </w:r>
      <w:r>
        <w:t xml:space="preserve">\lambda_b</w:t>
      </w:r>
      <w:r>
        <w:t xml:space="preserve">)</w:t>
      </w:r>
      <w:r>
        <w:t xml:space="preserve">:</w:t>
      </w:r>
    </w:p>
    <w:p>
      <w:pPr>
        <w:pStyle w:val="MdSpace"/>
        <w:spacing w:before="0" w:after="60"/>
      </w:pPr>
    </w:p>
    <w:p>
      <w:pPr>
        <w:pStyle w:val="MdParagraph"/>
      </w:pPr>
      <w:r>
        <w:t xml:space="preserve">[</w:t>
      </w:r>
      <w:r>
        <w:t xml:space="preserve">M_b = \sigma\left(Z_b + \lambda_b H_b\right),</w:t>
      </w:r>
      <w:r>
        <w:br/>
        <w:t xml:space="preserve">\qquad</w:t>
      </w:r>
      <w:r>
        <w:br/>
        <w:t xml:space="preserve">X'_b = X_b^c \odot M_b.</w:t>
      </w:r>
      <w:r>
        <w:t xml:space="preserve">]</w:t>
      </w:r>
    </w:p>
    <w:p>
      <w:pPr>
        <w:pStyle w:val="MdSpace"/>
        <w:spacing w:before="0" w:after="60"/>
      </w:pPr>
    </w:p>
    <w:p>
      <w:pPr>
        <w:pStyle w:val="MdParagraph"/>
      </w:pPr>
      <w:r>
        <w:t xml:space="preserve">The four gates are initialized to zero, optimized jointly with the network, stored in every checkpoint, and regularized with an L2 penalty. Standard ResNet and standard CBAM baselines contain no prior path. The implementation never selects a prior using the ground-truth class label.</w:t>
      </w:r>
    </w:p>
    <w:p>
      <w:pPr>
        <w:pStyle w:val="MdSpace"/>
        <w:spacing w:before="0" w:after="60"/>
      </w:pPr>
    </w:p>
    <w:p>
      <w:pPr>
        <w:pStyle w:val="Heading2"/>
        <w:pStyle w:val="MdHeading2"/>
      </w:pPr>
      <w:r>
        <w:t xml:space="preserve">Public sources used by the R3 study</w:t>
      </w:r>
    </w:p>
    <w:p>
      <w:pPr>
        <w:pStyle w:val="MdParagraph"/>
      </w:pPr>
      <w:r>
        <w:t xml:space="preserve">The cross-modal prior is constructed from two independent public sources: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Source</w:t>
            </w:r>
          </w:p>
        </w:tc>
        <w:tc>
          <w:tcPr>
            <w:tcBorders>
              <w:right w:val="none"/>
            </w:tcBorders>
            <w:tcMar>
              <w:top w:type="dxa" w:w="100"/>
              <w:left w:type="dxa" w:w="120"/>
              <w:bottom w:type="dxa" w:w="100"/>
              <w:right w:type="dxa" w:w="120"/>
            </w:tcMar>
            <w:vAlign w:val="center"/>
          </w:tcPr>
          <w:p>
            <w:pPr>
              <w:pStyle w:val="MdTableHeader"/>
            </w:pPr>
            <w:r>
              <w:t xml:space="preserve">Role in the method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hyperlink w:history="1" r:id="rId7yzldh_ncj0w7vdznmxp3">
              <w:r>
                <w:rPr>
                  <w:rStyle w:val="MdLink"/>
                </w:rPr>
                <w:t xml:space="preserve">OpenNeuro ds003548</w:t>
              </w:r>
            </w:hyperlink>
            <w:r>
              <w:t xml:space="preserve"> and </w:t>
            </w:r>
            <w:hyperlink w:history="1" r:id="rIdhlaxkwxaxili76yzxe36a">
              <w:r>
                <w:rPr>
                  <w:rStyle w:val="MdLink"/>
                </w:rPr>
                <w:t xml:space="preserve">NeuroVault collection 9492</w:t>
              </w:r>
            </w:hyperlink>
          </w:p>
        </w:tc>
        <w:tc>
          <w:tcPr>
            <w:tcBorders>
              <w:right w:val="none"/>
            </w:tcBorders>
            <w:tcMar>
              <w:top w:type="dxa" w:w="80"/>
              <w:left w:type="dxa" w:w="120"/>
              <w:bottom w:type="dxa" w:w="80"/>
              <w:right w:type="dxa" w:w="120"/>
            </w:tcMar>
            <w:vAlign w:val="center"/>
          </w:tcPr>
          <w:p>
            <w:pPr>
              <w:pStyle w:val="MdTableCell"/>
            </w:pPr>
            <w:r>
              <w:t xml:space="preserve">Public group-level emotion maps used to derive three descriptive condition weights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hyperlink w:history="1" r:id="rIdz7ipdvuq0n57cqonobyot">
              <w:r>
                <w:rPr>
                  <w:rStyle w:val="MdLink"/>
                </w:rPr>
                <w:t xml:space="preserve">Wegrzyn et al., 2017</w:t>
              </w:r>
            </w:hyperlink>
          </w:p>
        </w:tc>
        <w:tc>
          <w:tcPr>
            <w:tcBorders>
              <w:right w:val="none"/>
            </w:tcBorders>
            <w:tcMar>
              <w:top w:type="dxa" w:w="80"/>
              <w:left w:type="dxa" w:w="120"/>
              <w:bottom w:type="dxa" w:w="80"/>
              <w:right w:type="dxa" w:w="120"/>
            </w:tcMar>
            <w:vAlign w:val="center"/>
          </w:tcPr>
          <w:p>
            <w:pPr>
              <w:pStyle w:val="MdTableCell"/>
            </w:pPr>
            <w:r>
              <w:t xml:space="preserve">Published diagnostic facial-region weights defining the face-space geometry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FER-2013</w:t>
            </w:r>
          </w:p>
        </w:tc>
        <w:tc>
          <w:tcPr>
            <w:tcBorders>
              <w:right w:val="none"/>
            </w:tcBorders>
            <w:tcMar>
              <w:top w:type="dxa" w:w="80"/>
              <w:left w:type="dxa" w:w="120"/>
              <w:bottom w:type="dxa" w:w="80"/>
              <w:right w:type="dxa" w:w="120"/>
            </w:tcMar>
            <w:vAlign w:val="center"/>
          </w:tcPr>
          <w:p>
            <w:pPr>
              <w:pStyle w:val="MdTableCell"/>
            </w:pPr>
            <w:r>
              <w:t xml:space="preserve">Training, validation, and final evaluation under the official partitions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JAFFE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Five-fold subject-disjoint validation and direct FER-to-JAFFE transfer</w:t>
            </w:r>
          </w:p>
        </w:tc>
      </w:tr>
    </w:tbl>
    <w:p>
      <w:pPr>
        <w:pStyle w:val="MdParagraph"/>
      </w:pPr>
      <w:r>
        <w:t xml:space="preserve">No voxel is geometrically mapped to a face landmark, facial muscle, or action unit. The fMRI-derived quantities only calibrate the relative contribution of independently published face-region maps.</w:t>
      </w:r>
    </w:p>
    <w:p>
      <w:pPr>
        <w:pStyle w:val="MdSpace"/>
        <w:spacing w:before="0" w:after="60"/>
      </w:pPr>
    </w:p>
    <w:p>
      <w:pPr>
        <w:pStyle w:val="Heading2"/>
        <w:pStyle w:val="MdHeading2"/>
      </w:pPr>
      <w:r>
        <w:t xml:space="preserve">Repository layout</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Path</w:t>
            </w:r>
          </w:p>
        </w:tc>
        <w:tc>
          <w:tcPr>
            <w:tcBorders>
              <w:right w:val="none"/>
            </w:tcBorders>
            <w:tcMar>
              <w:top w:type="dxa" w:w="100"/>
              <w:left w:type="dxa" w:w="120"/>
              <w:bottom w:type="dxa" w:w="100"/>
              <w:right w:type="dxa" w:w="120"/>
            </w:tcMar>
            <w:vAlign w:val="center"/>
          </w:tcPr>
          <w:p>
            <w:pPr>
              <w:pStyle w:val="MdTableHeader"/>
            </w:pPr>
            <w:r>
              <w:t xml:space="preserve">Purpose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models/bio_cbam.py</w:t>
            </w:r>
          </w:p>
        </w:tc>
        <w:tc>
          <w:tcPr>
            <w:tcBorders>
              <w:right w:val="none"/>
            </w:tcBorders>
            <w:tcMar>
              <w:top w:type="dxa" w:w="80"/>
              <w:left w:type="dxa" w:w="120"/>
              <w:bottom w:type="dxa" w:w="80"/>
              <w:right w:type="dxa" w:w="120"/>
            </w:tcMar>
            <w:vAlign w:val="center"/>
          </w:tcPr>
          <w:p>
            <w:pPr>
              <w:pStyle w:val="MdTableCell"/>
            </w:pPr>
            <w:r>
              <w:t xml:space="preserve">ResNet, standard CBAM, and four-stage Bio-CBAM implementations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priors/analyze_neurovault_maps.py</w:t>
            </w:r>
          </w:p>
        </w:tc>
        <w:tc>
          <w:tcPr>
            <w:tcBorders>
              <w:right w:val="none"/>
            </w:tcBorders>
            <w:tcMar>
              <w:top w:type="dxa" w:w="80"/>
              <w:left w:type="dxa" w:w="120"/>
              <w:bottom w:type="dxa" w:w="80"/>
              <w:right w:type="dxa" w:w="120"/>
            </w:tcMar>
            <w:vAlign w:val="center"/>
          </w:tcPr>
          <w:p>
            <w:pPr>
              <w:pStyle w:val="MdTableCell"/>
            </w:pPr>
            <w:r>
              <w:t xml:space="preserve">Descriptive analysis of selected public group-level fMRI maps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priors/build_cross_modal_prior.py</w:t>
            </w:r>
          </w:p>
        </w:tc>
        <w:tc>
          <w:tcPr>
            <w:tcBorders>
              <w:right w:val="none"/>
            </w:tcBorders>
            <w:tcMar>
              <w:top w:type="dxa" w:w="80"/>
              <w:left w:type="dxa" w:w="120"/>
              <w:bottom w:type="dxa" w:w="80"/>
              <w:right w:type="dxa" w:w="120"/>
            </w:tcMar>
            <w:vAlign w:val="center"/>
          </w:tcPr>
          <w:p>
            <w:pPr>
              <w:pStyle w:val="MdTableCell"/>
            </w:pPr>
            <w:r>
              <w:t xml:space="preserve">Construction of equal-weight and fMRI-weighted functional face priors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priors/analyze_threshold_sensitivity.py</w:t>
            </w:r>
          </w:p>
        </w:tc>
        <w:tc>
          <w:tcPr>
            <w:tcBorders>
              <w:right w:val="none"/>
            </w:tcBorders>
            <w:tcMar>
              <w:top w:type="dxa" w:w="80"/>
              <w:left w:type="dxa" w:w="120"/>
              <w:bottom w:type="dxa" w:w="80"/>
              <w:right w:type="dxa" w:w="120"/>
            </w:tcMar>
            <w:vAlign w:val="center"/>
          </w:tcPr>
          <w:p>
            <w:pPr>
              <w:pStyle w:val="MdTableCell"/>
            </w:pPr>
            <w:r>
              <w:t xml:space="preserve">Sensitivity of fMRI weights and the resulting prior to the threshold grid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priors/build_dataset_saliency_prior.py</w:t>
            </w:r>
          </w:p>
        </w:tc>
        <w:tc>
          <w:tcPr>
            <w:tcBorders>
              <w:right w:val="none"/>
            </w:tcBorders>
            <w:tcMar>
              <w:top w:type="dxa" w:w="80"/>
              <w:left w:type="dxa" w:w="120"/>
              <w:bottom w:type="dxa" w:w="80"/>
              <w:right w:type="dxa" w:w="120"/>
            </w:tcMar>
            <w:vAlign w:val="center"/>
          </w:tcPr>
          <w:p>
            <w:pPr>
              <w:pStyle w:val="MdTableCell"/>
            </w:pPr>
            <w:r>
              <w:t xml:space="preserve">Training-only generic spectral-residual saliency control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priors/variants.py</w:t>
            </w:r>
          </w:p>
        </w:tc>
        <w:tc>
          <w:tcPr>
            <w:tcBorders>
              <w:right w:val="none"/>
            </w:tcBorders>
            <w:tcMar>
              <w:top w:type="dxa" w:w="80"/>
              <w:left w:type="dxa" w:w="120"/>
              <w:bottom w:type="dxa" w:w="80"/>
              <w:right w:type="dxa" w:w="120"/>
            </w:tcMar>
            <w:vAlign w:val="center"/>
          </w:tcPr>
          <w:p>
            <w:pPr>
              <w:pStyle w:val="MdTableCell"/>
            </w:pPr>
            <w:r>
              <w:t xml:space="preserve">Gaussian, random-matched, and generic control priors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dataset_scripts/dataset_loader.py</w:t>
            </w:r>
          </w:p>
        </w:tc>
        <w:tc>
          <w:tcPr>
            <w:tcBorders>
              <w:right w:val="none"/>
            </w:tcBorders>
            <w:tcMar>
              <w:top w:type="dxa" w:w="80"/>
              <w:left w:type="dxa" w:w="120"/>
              <w:bottom w:type="dxa" w:w="80"/>
              <w:right w:type="dxa" w:w="120"/>
            </w:tcMar>
            <w:vAlign w:val="center"/>
          </w:tcPr>
          <w:p>
            <w:pPr>
              <w:pStyle w:val="MdTableCell"/>
            </w:pPr>
            <w:r>
              <w:t xml:space="preserve">FER-2013 official partitions and subject-aware manifest datasets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dataset_scripts/prepare_manifests.py</w:t>
            </w:r>
          </w:p>
        </w:tc>
        <w:tc>
          <w:tcPr>
            <w:tcBorders>
              <w:right w:val="none"/>
            </w:tcBorders>
            <w:tcMar>
              <w:top w:type="dxa" w:w="80"/>
              <w:left w:type="dxa" w:w="120"/>
              <w:bottom w:type="dxa" w:w="80"/>
              <w:right w:type="dxa" w:w="120"/>
            </w:tcMar>
            <w:vAlign w:val="center"/>
          </w:tcPr>
          <w:p>
            <w:pPr>
              <w:pStyle w:val="MdTableCell"/>
            </w:pPr>
            <w:r>
              <w:t xml:space="preserve">JAFFE/CK+ manifest creation and subject-disjoint folds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dataset_scripts/audit_dataset.py</w:t>
            </w:r>
          </w:p>
        </w:tc>
        <w:tc>
          <w:tcPr>
            <w:tcBorders>
              <w:right w:val="none"/>
            </w:tcBorders>
            <w:tcMar>
              <w:top w:type="dxa" w:w="80"/>
              <w:left w:type="dxa" w:w="120"/>
              <w:bottom w:type="dxa" w:w="80"/>
              <w:right w:type="dxa" w:w="120"/>
            </w:tcMar>
            <w:vAlign w:val="center"/>
          </w:tcPr>
          <w:p>
            <w:pPr>
              <w:pStyle w:val="MdTableCell"/>
            </w:pPr>
            <w:r>
              <w:t xml:space="preserve">Pre-training split and class-distribution audit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train.py</w:t>
            </w:r>
          </w:p>
        </w:tc>
        <w:tc>
          <w:tcPr>
            <w:tcBorders>
              <w:right w:val="none"/>
            </w:tcBorders>
            <w:tcMar>
              <w:top w:type="dxa" w:w="80"/>
              <w:left w:type="dxa" w:w="120"/>
              <w:bottom w:type="dxa" w:w="80"/>
              <w:right w:type="dxa" w:w="120"/>
            </w:tcMar>
            <w:vAlign w:val="center"/>
          </w:tcPr>
          <w:p>
            <w:pPr>
              <w:pStyle w:val="MdTableCell"/>
            </w:pPr>
            <w:r>
              <w:t xml:space="preserve">Deterministic training, validation selection, checkpointing, resume, and final test evaluation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eval.py</w:t>
            </w:r>
          </w:p>
        </w:tc>
        <w:tc>
          <w:tcPr>
            <w:tcBorders>
              <w:right w:val="none"/>
            </w:tcBorders>
            <w:tcMar>
              <w:top w:type="dxa" w:w="80"/>
              <w:left w:type="dxa" w:w="120"/>
              <w:bottom w:type="dxa" w:w="80"/>
              <w:right w:type="dxa" w:w="120"/>
            </w:tcMar>
            <w:vAlign w:val="center"/>
          </w:tcPr>
          <w:p>
            <w:pPr>
              <w:pStyle w:val="MdTableCell"/>
            </w:pPr>
            <w:r>
              <w:t xml:space="preserve">Exact reconstruction and evaluation of an archived checkpoint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experiments/run_ablation.py</w:t>
            </w:r>
          </w:p>
        </w:tc>
        <w:tc>
          <w:tcPr>
            <w:tcBorders>
              <w:right w:val="none"/>
            </w:tcBorders>
            <w:tcMar>
              <w:top w:type="dxa" w:w="80"/>
              <w:left w:type="dxa" w:w="120"/>
              <w:bottom w:type="dxa" w:w="80"/>
              <w:right w:type="dxa" w:w="120"/>
            </w:tcMar>
            <w:vAlign w:val="center"/>
          </w:tcPr>
          <w:p>
            <w:pPr>
              <w:pStyle w:val="MdTableCell"/>
            </w:pPr>
            <w:r>
              <w:t xml:space="preserve">Matched multi-seed and multi-fold experiment orchestration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experiments/analyze_runs.py</w:t>
            </w:r>
          </w:p>
        </w:tc>
        <w:tc>
          <w:tcPr>
            <w:tcBorders>
              <w:right w:val="none"/>
            </w:tcBorders>
            <w:tcMar>
              <w:top w:type="dxa" w:w="80"/>
              <w:left w:type="dxa" w:w="120"/>
              <w:bottom w:type="dxa" w:w="80"/>
              <w:right w:type="dxa" w:w="120"/>
            </w:tcMar>
            <w:vAlign w:val="center"/>
          </w:tcPr>
          <w:p>
            <w:pPr>
              <w:pStyle w:val="MdTableCell"/>
            </w:pPr>
            <w:r>
              <w:t xml:space="preserve">Run aggregation, confidence intervals, paired tests, effect sizes, and Holm correction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experiments/evaluate_cross_dataset.py</w:t>
            </w:r>
          </w:p>
        </w:tc>
        <w:tc>
          <w:tcPr>
            <w:tcBorders>
              <w:right w:val="none"/>
            </w:tcBorders>
            <w:tcMar>
              <w:top w:type="dxa" w:w="80"/>
              <w:left w:type="dxa" w:w="120"/>
              <w:bottom w:type="dxa" w:w="80"/>
              <w:right w:type="dxa" w:w="120"/>
            </w:tcMar>
            <w:vAlign w:val="center"/>
          </w:tcPr>
          <w:p>
            <w:pPr>
              <w:pStyle w:val="MdTableCell"/>
            </w:pPr>
            <w:r>
              <w:t xml:space="preserve">Direct FER-2013-to-JAFFE evaluation without adaptation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experiments/evaluate_attention_faithfulness.py</w:t>
            </w:r>
          </w:p>
        </w:tc>
        <w:tc>
          <w:tcPr>
            <w:tcBorders>
              <w:right w:val="none"/>
            </w:tcBorders>
            <w:tcMar>
              <w:top w:type="dxa" w:w="80"/>
              <w:left w:type="dxa" w:w="120"/>
              <w:bottom w:type="dxa" w:w="80"/>
              <w:right w:type="dxa" w:w="120"/>
            </w:tcMar>
            <w:vAlign w:val="center"/>
          </w:tcPr>
          <w:p>
            <w:pPr>
              <w:pStyle w:val="MdTableCell"/>
            </w:pPr>
            <w:r>
              <w:t xml:space="preserve">Insertion, deletion, stability, and behavioral-region concentration metrics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experiments/evaluate_prior_sensitivity.py</w:t>
            </w:r>
          </w:p>
        </w:tc>
        <w:tc>
          <w:tcPr>
            <w:tcBorders>
              <w:right w:val="none"/>
            </w:tcBorders>
            <w:tcMar>
              <w:top w:type="dxa" w:w="80"/>
              <w:left w:type="dxa" w:w="120"/>
              <w:bottom w:type="dxa" w:w="80"/>
              <w:right w:type="dxa" w:w="120"/>
            </w:tcMar>
            <w:vAlign w:val="center"/>
          </w:tcPr>
          <w:p>
            <w:pPr>
              <w:pStyle w:val="MdTableCell"/>
            </w:pPr>
            <w:r>
              <w:t xml:space="preserve">Frozen-checkpoint evaluation with absent, shifted, flipped, inverted, or permuted priors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experiments/analyze_calibration.py</w:t>
            </w:r>
          </w:p>
        </w:tc>
        <w:tc>
          <w:tcPr>
            <w:tcBorders>
              <w:right w:val="none"/>
            </w:tcBorders>
            <w:tcMar>
              <w:top w:type="dxa" w:w="80"/>
              <w:left w:type="dxa" w:w="120"/>
              <w:bottom w:type="dxa" w:w="80"/>
              <w:right w:type="dxa" w:w="120"/>
            </w:tcMar>
            <w:vAlign w:val="center"/>
          </w:tcPr>
          <w:p>
            <w:pPr>
              <w:pStyle w:val="MdTableCell"/>
            </w:pPr>
            <w:r>
              <w:t xml:space="preserve">NLL, multiclass Brier score, fixed-bin ECE, and adaptive ECE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experiments/evaluate_robustness.py</w:t>
            </w:r>
          </w:p>
        </w:tc>
        <w:tc>
          <w:tcPr>
            <w:tcBorders>
              <w:right w:val="none"/>
            </w:tcBorders>
            <w:tcMar>
              <w:top w:type="dxa" w:w="80"/>
              <w:left w:type="dxa" w:w="120"/>
              <w:bottom w:type="dxa" w:w="80"/>
              <w:right w:type="dxa" w:w="120"/>
            </w:tcMar>
            <w:vAlign w:val="center"/>
          </w:tcPr>
          <w:p>
            <w:pPr>
              <w:pStyle w:val="MdTableCell"/>
            </w:pPr>
            <w:r>
              <w:t xml:space="preserve">Noise, illumination, blur, occlusion, and translation tests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experiments/profile_model.py</w:t>
            </w:r>
          </w:p>
        </w:tc>
        <w:tc>
          <w:tcPr>
            <w:tcBorders>
              <w:right w:val="none"/>
            </w:tcBorders>
            <w:tcMar>
              <w:top w:type="dxa" w:w="80"/>
              <w:left w:type="dxa" w:w="120"/>
              <w:bottom w:type="dxa" w:w="80"/>
              <w:right w:type="dxa" w:w="120"/>
            </w:tcMar>
            <w:vAlign w:val="center"/>
          </w:tcPr>
          <w:p>
            <w:pPr>
              <w:pStyle w:val="MdTableCell"/>
            </w:pPr>
            <w:r>
              <w:t xml:space="preserve">Parameters, FLOPs, latency, throughput, and memory profiling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tests/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Unit and end-to-end smoke tests using synthetic data only</w:t>
            </w:r>
          </w:p>
        </w:tc>
      </w:tr>
    </w:tbl>
    <w:p>
      <w:pPr>
        <w:pStyle w:val="MdParagraph"/>
      </w:pPr>
      <w:r>
        <w:t xml:space="preserve">The files </w:t>
      </w:r>
      <w:r>
        <w:rPr>
          <w:rStyle w:val="MdCode"/>
          <w:u w:val="single"/>
        </w:rPr>
        <w:t xml:space="preserve">priors/tps.py</w:t>
      </w:r>
      <w:r>
        <w:t xml:space="preserve">, </w:t>
      </w:r>
      <w:r>
        <w:rPr>
          <w:rStyle w:val="MdCode"/>
          <w:u w:val="single"/>
        </w:rPr>
        <w:t xml:space="preserve">priors/fmri_pipeline.py</w:t>
      </w:r>
      <w:r>
        <w:t xml:space="preserve">, and </w:t>
      </w:r>
      <w:r>
        <w:rPr>
          <w:rStyle w:val="MdCode"/>
          <w:u w:val="single"/>
        </w:rPr>
        <w:t xml:space="preserve">priors/generate_fmri_priors.py</w:t>
      </w:r>
      <w:r>
        <w:t xml:space="preserve"> are retained only as legacy research utilities. They are </w:t>
      </w:r>
      <w:r>
        <w:rPr>
          <w:rStyle w:val="MdStrong"/>
          <w:b/>
          <w:bCs/>
        </w:rPr>
        <w:t xml:space="preserve">not used by the R3 manuscript experiments</w:t>
      </w:r>
      <w:r>
        <w:t xml:space="preserve"> and must not be interpreted as part of the reported cross-modal method.</w:t>
      </w:r>
    </w:p>
    <w:p>
      <w:pPr>
        <w:pStyle w:val="MdSpace"/>
        <w:spacing w:before="0" w:after="60"/>
      </w:pPr>
    </w:p>
    <w:p>
      <w:pPr>
        <w:pStyle w:val="Heading2"/>
        <w:pStyle w:val="MdHeading2"/>
      </w:pPr>
      <w:r>
        <w:t xml:space="preserve">Installation</w:t>
      </w:r>
    </w:p>
    <w:p>
      <w:pPr>
        <w:pStyle w:val="MdParagraph"/>
      </w:pPr>
      <w:r>
        <w:t xml:space="preserve">Python 3.10–3.12 is recommended. Create an isolated environment and install the declared dependencies: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venv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.venv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source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.venv/bin/activate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pip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install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--upgrade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pip</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pip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install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requirements.txt</w:t>
      </w:r>
    </w:p>
    <w:p>
      <w:pPr>
        <w:pStyle w:val="MdSpace"/>
        <w:spacing w:before="0" w:after="60"/>
      </w:pPr>
    </w:p>
    <w:p>
      <w:pPr>
        <w:pStyle w:val="MdParagraph"/>
      </w:pPr>
      <w:r>
        <w:t xml:space="preserve">For CUDA execution, install the PyTorch build matching the local driver before installing the remaining requirements. The published R3 campaign used a deterministic CPU protocol; GPU execution is supported but may not reproduce CPU timing measurements.</w:t>
      </w:r>
    </w:p>
    <w:p>
      <w:pPr>
        <w:pStyle w:val="MdSpace"/>
        <w:spacing w:before="0" w:after="60"/>
      </w:pPr>
    </w:p>
    <w:p>
      <w:pPr>
        <w:pStyle w:val="MdParagraph"/>
      </w:pPr>
      <w:r>
        <w:t xml:space="preserve">Verify the installation before using real data:</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unittest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discover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tests/smoke_training.py</w:t>
      </w:r>
    </w:p>
    <w:p>
      <w:pPr>
        <w:pStyle w:val="MdSpace"/>
        <w:spacing w:before="0" w:after="60"/>
      </w:pPr>
    </w:p>
    <w:p>
      <w:pPr>
        <w:pStyle w:val="MdParagraph"/>
      </w:pPr>
      <w:r>
        <w:t xml:space="preserve">Synthetic tests validate the software only. They are never used as scientific results.</w:t>
      </w:r>
    </w:p>
    <w:p>
      <w:pPr>
        <w:pStyle w:val="MdSpace"/>
        <w:spacing w:before="0" w:after="60"/>
      </w:pPr>
    </w:p>
    <w:p>
      <w:pPr>
        <w:pStyle w:val="Heading2"/>
        <w:pStyle w:val="MdHeading2"/>
      </w:pPr>
      <w:r>
        <w:t xml:space="preserve">Data preparation</w:t>
      </w:r>
    </w:p>
    <w:p>
      <w:pPr>
        <w:pStyle w:val="Heading3"/>
        <w:pStyle w:val="MdHeading3"/>
      </w:pPr>
      <w:r>
        <w:t xml:space="preserve">FER-2013</w:t>
      </w:r>
    </w:p>
    <w:p>
      <w:pPr>
        <w:pStyle w:val="MdParagraph"/>
      </w:pPr>
      <w:r>
        <w:t xml:space="preserve">The loader accepts either the standard FER-2013 CSV or the audited directory representation supported by </w:t>
      </w:r>
      <w:r>
        <w:rPr>
          <w:rStyle w:val="MdCode"/>
          <w:u w:val="single"/>
        </w:rPr>
        <w:t xml:space="preserve">dataset_loader.py</w:t>
      </w:r>
      <w:r>
        <w:t xml:space="preserve">. The official </w:t>
      </w:r>
      <w:r>
        <w:rPr>
          <w:rStyle w:val="MdCode"/>
          <w:u w:val="single"/>
        </w:rPr>
        <w:t xml:space="preserve">Training</w:t>
      </w:r>
      <w:r>
        <w:t xml:space="preserve">, </w:t>
      </w:r>
      <w:r>
        <w:rPr>
          <w:rStyle w:val="MdCode"/>
          <w:u w:val="single"/>
        </w:rPr>
        <w:t xml:space="preserve">PublicTest</w:t>
      </w:r>
      <w:r>
        <w:t xml:space="preserve">, and </w:t>
      </w:r>
      <w:r>
        <w:rPr>
          <w:rStyle w:val="MdCode"/>
          <w:u w:val="single"/>
        </w:rPr>
        <w:t xml:space="preserve">PrivateTest</w:t>
      </w:r>
      <w:r>
        <w:t xml:space="preserve"> partitions are preserved. FER-2013 does not provide subject identifiers; this repository therefore makes no subject-independence claim for FER-2013.</w:t>
      </w:r>
    </w:p>
    <w:p>
      <w:pPr>
        <w:pStyle w:val="MdSpace"/>
        <w:spacing w:before="0" w:after="60"/>
      </w:pPr>
    </w:p>
    <w:p>
      <w:pPr>
        <w:pStyle w:val="MdParagraph"/>
      </w:pPr>
      <w:r>
        <w:t xml:space="preserve">Audit the seven-class protocol:</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dataset_scripts.audit_dataset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--dataset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fer2013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--data-path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/ABSOLUTE/PATH/TO/FER2013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--num-classes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--output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artifacts/audits/fer7.json</w:t>
      </w:r>
    </w:p>
    <w:p>
      <w:pPr>
        <w:pStyle w:val="MdSpace"/>
        <w:spacing w:before="0" w:after="60"/>
      </w:pPr>
    </w:p>
    <w:p>
      <w:pPr>
        <w:pStyle w:val="MdParagraph"/>
      </w:pPr>
      <w:r>
        <w:t xml:space="preserve">Audit the strict four-class protocol:</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dataset_scripts.audit_dataset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--dataset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fer2013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--data-path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/ABSOLUTE/PATH/TO/FER2013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--num-classes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--four-classes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angry,happy,sad,neutral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--output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artifacts/audits/fer4.json</w:t>
      </w:r>
    </w:p>
    <w:p>
      <w:pPr>
        <w:pStyle w:val="MdSpace"/>
        <w:spacing w:before="0" w:after="60"/>
      </w:pPr>
    </w:p>
    <w:p>
      <w:pPr>
        <w:pStyle w:val="MdParagraph"/>
      </w:pPr>
      <w:r>
        <w:t xml:space="preserve">The strict protocol retains only the official </w:t>
      </w:r>
      <w:r>
        <w:rPr>
          <w:rStyle w:val="MdCode"/>
          <w:u w:val="single"/>
        </w:rPr>
        <w:t xml:space="preserve">angry</w:t>
      </w:r>
      <w:r>
        <w:t xml:space="preserve">, </w:t>
      </w:r>
      <w:r>
        <w:rPr>
          <w:rStyle w:val="MdCode"/>
          <w:u w:val="single"/>
        </w:rPr>
        <w:t xml:space="preserve">happy</w:t>
      </w:r>
      <w:r>
        <w:t xml:space="preserve">, </w:t>
      </w:r>
      <w:r>
        <w:rPr>
          <w:rStyle w:val="MdCode"/>
          <w:u w:val="single"/>
        </w:rPr>
        <w:t xml:space="preserve">sad</w:t>
      </w:r>
      <w:r>
        <w:t xml:space="preserve">, and </w:t>
      </w:r>
      <w:r>
        <w:rPr>
          <w:rStyle w:val="MdCode"/>
          <w:u w:val="single"/>
        </w:rPr>
        <w:t xml:space="preserve">neutral</w:t>
      </w:r>
      <w:r>
        <w:t xml:space="preserve"> labels. No categories are merged or renamed, and the non-official label “Confusion” is never used.</w:t>
      </w:r>
    </w:p>
    <w:p>
      <w:pPr>
        <w:pStyle w:val="MdSpace"/>
        <w:spacing w:before="0" w:after="60"/>
      </w:pPr>
    </w:p>
    <w:p>
      <w:pPr>
        <w:pStyle w:val="Heading3"/>
        <w:pStyle w:val="MdHeading3"/>
      </w:pPr>
      <w:r>
        <w:t xml:space="preserve">JAFFE</w:t>
      </w:r>
    </w:p>
    <w:p>
      <w:pPr>
        <w:pStyle w:val="MdParagraph"/>
      </w:pPr>
      <w:r>
        <w:t xml:space="preserve">Create the image manifest and five subject-disjoint folds: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dataset_scripts.prepare_manifests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jaffe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--images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/ABSOLUTE/PATH/TO/JAFFE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--output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artifacts/manifests/jaffe_all.csv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dataset_scripts.prepare_manifests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folds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--manifest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artifacts/manifests/jaffe_all.csv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--output-dir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artifacts/manifests/jaffe_folds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--folds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42</w:t>
      </w:r>
    </w:p>
    <w:p>
      <w:pPr>
        <w:pStyle w:val="MdSpace"/>
        <w:spacing w:before="0" w:after="60"/>
      </w:pPr>
    </w:p>
    <w:p>
      <w:pPr>
        <w:pStyle w:val="MdParagraph"/>
      </w:pPr>
      <w:r>
        <w:t xml:space="preserve">Each generated manifest contains </w:t>
      </w:r>
      <w:r>
        <w:rPr>
          <w:rStyle w:val="MdCode"/>
          <w:u w:val="single"/>
        </w:rPr>
        <w:t xml:space="preserve">path</w:t>
      </w:r>
      <w:r>
        <w:t xml:space="preserve">, </w:t>
      </w:r>
      <w:r>
        <w:rPr>
          <w:rStyle w:val="MdCode"/>
          <w:u w:val="single"/>
        </w:rPr>
        <w:t xml:space="preserve">label</w:t>
      </w:r>
      <w:r>
        <w:t xml:space="preserve">, </w:t>
      </w:r>
      <w:r>
        <w:rPr>
          <w:rStyle w:val="MdCode"/>
          <w:u w:val="single"/>
        </w:rPr>
        <w:t xml:space="preserve">subject_id</w:t>
      </w:r>
      <w:r>
        <w:t xml:space="preserve">, and </w:t>
      </w:r>
      <w:r>
        <w:rPr>
          <w:rStyle w:val="MdCode"/>
          <w:u w:val="single"/>
        </w:rPr>
        <w:t xml:space="preserve">split</w:t>
      </w:r>
      <w:r>
        <w:t xml:space="preserve">. Loading stops with an error if a subject appears in more than one partition.</w:t>
      </w:r>
    </w:p>
    <w:p>
      <w:pPr>
        <w:pStyle w:val="MdSpace"/>
        <w:spacing w:before="0" w:after="60"/>
      </w:pPr>
    </w:p>
    <w:p>
      <w:pPr>
        <w:pStyle w:val="MdBlockquote"/>
      </w:pPr>
      <w:r>
        <w:t xml:space="preserve">FER-2013 and JAFFE remain subject to their original distribution conditions. This repository does not redistribute their images.</w:t>
      </w:r>
    </w:p>
    <w:p>
      <w:pPr>
        <w:pStyle w:val="MdSpace"/>
        <w:spacing w:before="0" w:after="60"/>
      </w:pPr>
    </w:p>
    <w:p>
      <w:pPr>
        <w:pStyle w:val="Heading2"/>
        <w:pStyle w:val="MdHeading2"/>
      </w:pPr>
      <w:r>
        <w:t xml:space="preserve">Building the public cross-modal prior</w:t>
      </w:r>
    </w:p>
    <w:p>
      <w:pPr>
        <w:pStyle w:val="MdParagraph"/>
      </w:pPr>
      <w:r>
        <w:t xml:space="preserve">Prepare a JSON specification that maps each selected contrast label to its downloaded group-level NIfTI file. Then quantify the maps: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priors.analyze_neurovault_maps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--spec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/ABSOLUTE/PATH/selected_map_spec.json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--output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artifacts/priors/fmri_analysis.json</w:t>
      </w:r>
    </w:p>
    <w:p>
      <w:pPr>
        <w:pStyle w:val="MdSpace"/>
        <w:spacing w:before="0" w:after="60"/>
      </w:pPr>
    </w:p>
    <w:p>
      <w:pPr>
        <w:pStyle w:val="MdParagraph"/>
      </w:pPr>
      <w:r>
        <w:t xml:space="preserve">Build the equal-weight and fMRI-weighted functional face priors from the published facial-tile table: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priors.build_cross_modal_prior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--face-weights-csv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/ABSOLUTE/PATH/weightAvgDf.csv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--fmri-analysis-json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artifacts/priors/fmri_analysis.json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--output-dir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artifacts/priors/cross_modal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64</w:t>
      </w:r>
    </w:p>
    <w:p>
      <w:pPr>
        <w:pStyle w:val="MdSpace"/>
        <w:spacing w:before="0" w:after="60"/>
      </w:pPr>
    </w:p>
    <w:p>
      <w:pPr>
        <w:pStyle w:val="MdParagraph"/>
      </w:pPr>
      <w:r>
        <w:t xml:space="preserve">The output directory includes the component bank, equal-weight prior, fMRI-weighted prior, preview image, metadata, and input/output hashes. The construction is deterministic for fixed inputs.</w:t>
      </w:r>
    </w:p>
    <w:p>
      <w:pPr>
        <w:pStyle w:val="MdSpace"/>
        <w:spacing w:before="0" w:after="60"/>
      </w:pPr>
    </w:p>
    <w:p>
      <w:pPr>
        <w:pStyle w:val="MdParagraph"/>
      </w:pPr>
      <w:r>
        <w:t xml:space="preserve">Threshold sensitivity can be evaluated without retraining:</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priors.analyze_threshold_sensitivity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--map-spec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/ABSOLUTE/PATH/selected_map_spec.json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--component-bank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artifacts/priors/cross_modal/functional_face_components.npy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--thresholds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90,92.5,95,97.5,99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--output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artifacts/analysis/fmri_threshold_sensitivity.json</w:t>
      </w:r>
    </w:p>
    <w:p>
      <w:pPr>
        <w:pStyle w:val="MdSpace"/>
        <w:spacing w:before="0" w:after="60"/>
      </w:pPr>
    </w:p>
    <w:p>
      <w:pPr>
        <w:pStyle w:val="Heading2"/>
        <w:pStyle w:val="MdHeading2"/>
      </w:pPr>
      <w:r>
        <w:t xml:space="preserve">Training</w:t>
      </w:r>
    </w:p>
    <w:p>
      <w:pPr>
        <w:pStyle w:val="MdParagraph"/>
      </w:pPr>
      <w:r>
        <w:t xml:space="preserve">The manuscript’s constrained-budget FER-2013 protocol used ResNet-18, 64×64 inputs, three epochs, batch size 128, AdamW with learning rate </w:t>
      </w:r>
      <w:r>
        <w:rPr>
          <w:rStyle w:val="MdCode"/>
          <w:u w:val="single"/>
        </w:rPr>
        <w:t xml:space="preserve">5e-4</w:t>
      </w:r>
      <w:r>
        <w:t xml:space="preserve">, weight decay </w:t>
      </w:r>
      <w:r>
        <w:rPr>
          <w:rStyle w:val="MdCode"/>
          <w:u w:val="single"/>
        </w:rPr>
        <w:t xml:space="preserve">1e-4</w:t>
      </w:r>
      <w:r>
        <w:t xml:space="preserve">, dropout </w:t>
      </w:r>
      <w:r>
        <w:rPr>
          <w:rStyle w:val="MdCode"/>
          <w:u w:val="single"/>
        </w:rPr>
        <w:t xml:space="preserve">0.2</w:t>
      </w:r>
      <w:r>
        <w:t xml:space="preserve">, gate initialization </w:t>
      </w:r>
      <w:r>
        <w:rPr>
          <w:rStyle w:val="MdCode"/>
          <w:u w:val="single"/>
        </w:rPr>
        <w:t xml:space="preserve">0</w:t>
      </w:r>
      <w:r>
        <w:t xml:space="preserve">, gate regularization </w:t>
      </w:r>
      <w:r>
        <w:rPr>
          <w:rStyle w:val="MdCode"/>
          <w:u w:val="single"/>
        </w:rPr>
        <w:t xml:space="preserve">1e-4</w:t>
      </w:r>
      <w:r>
        <w:t xml:space="preserve">, checkpoint selection by validation macro-F1, and paired seeds </w:t>
      </w:r>
      <w:r>
        <w:rPr>
          <w:rStyle w:val="MdCode"/>
          <w:u w:val="single"/>
        </w:rPr>
        <w:t xml:space="preserve">42</w:t>
      </w:r>
      <w:r>
        <w:t xml:space="preserve">, </w:t>
      </w:r>
      <w:r>
        <w:rPr>
          <w:rStyle w:val="MdCode"/>
          <w:u w:val="single"/>
        </w:rPr>
        <w:t xml:space="preserve">456</w:t>
      </w:r>
      <w:r>
        <w:t xml:space="preserve">, and </w:t>
      </w:r>
      <w:r>
        <w:rPr>
          <w:rStyle w:val="MdCode"/>
          <w:u w:val="single"/>
        </w:rPr>
        <w:t xml:space="preserve">789</w:t>
      </w:r>
      <w:r>
        <w:t xml:space="preserve">.</w:t>
      </w:r>
    </w:p>
    <w:p>
      <w:pPr>
        <w:pStyle w:val="MdSpace"/>
        <w:spacing w:before="0" w:after="60"/>
      </w:pPr>
    </w:p>
    <w:p>
      <w:pPr>
        <w:pStyle w:val="Heading3"/>
        <w:pStyle w:val="MdHeading3"/>
      </w:pPr>
      <w:r>
        <w:t xml:space="preserve">ResNet baseline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train.py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--dataset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fer2013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--data-path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/ABSOLUTE/PATH/TO/FER2013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--output-dir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runs/fer7/resnet/seed_42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--num-classes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--architecture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resnet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--backbone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resnet18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--pretrained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--image-size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--epochs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--batch-size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--learning-rate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0.0005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--weight-decay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0.0001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--dropout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--monitor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f1_macro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--device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cpu</w:t>
      </w:r>
    </w:p>
    <w:p>
      <w:pPr>
        <w:pStyle w:val="MdSpace"/>
        <w:spacing w:before="0" w:after="60"/>
      </w:pPr>
    </w:p>
    <w:p>
      <w:pPr>
        <w:pStyle w:val="Heading3"/>
        <w:pStyle w:val="MdHeading3"/>
      </w:pPr>
      <w:r>
        <w:t xml:space="preserve">Standard CBAM baseline</w:t>
      </w:r>
    </w:p>
    <w:p>
      <w:pPr>
        <w:pStyle w:val="MdParagraph"/>
      </w:pPr>
      <w:r>
        <w:t xml:space="preserve">Use the same command and replace: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--architecture resnet</w:t>
      </w:r>
    </w:p>
    <w:p>
      <w:pPr>
        <w:pStyle w:val="MdSpace"/>
        <w:spacing w:before="0" w:after="60"/>
      </w:pPr>
    </w:p>
    <w:p>
      <w:pPr>
        <w:pStyle w:val="MdParagraph"/>
      </w:pPr>
      <w:r>
        <w:t xml:space="preserve">with:</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--architecture cbam</w:t>
      </w:r>
    </w:p>
    <w:p>
      <w:pPr>
        <w:pStyle w:val="MdSpace"/>
        <w:spacing w:before="0" w:after="60"/>
      </w:pPr>
    </w:p>
    <w:p>
      <w:pPr>
        <w:pStyle w:val="Heading3"/>
        <w:pStyle w:val="MdHeading3"/>
      </w:pPr>
      <w:r>
        <w:t xml:space="preserve">Bio-CBAM with the fMRI-weighted functional prior</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train.py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--dataset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fer2013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--data-path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/ABSOLUTE/PATH/TO/FER2013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--output-dir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runs/fer7/fmri_weighted/seed_42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--num-classes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--architecture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biocbam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artifacts/priors/cross_modal/fmri_weighted_functional_face_prior.npy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--require-prior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--backbone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resnet18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--pretrained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--image-size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--epochs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--batch-size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--learning-rate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0.0005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--weight-decay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0.0001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--dropout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--lambda-init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--lambda-regularization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0.0001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--monitor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f1_macro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--device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cpu</w:t>
      </w:r>
    </w:p>
    <w:p>
      <w:pPr>
        <w:pStyle w:val="MdSpace"/>
        <w:spacing w:before="0" w:after="60"/>
      </w:pPr>
    </w:p>
    <w:p>
      <w:pPr>
        <w:pStyle w:val="MdParagraph"/>
      </w:pPr>
      <w:r>
        <w:t xml:space="preserve">Repeat matched runs with seeds </w:t>
      </w:r>
      <w:r>
        <w:rPr>
          <w:rStyle w:val="MdCode"/>
          <w:u w:val="single"/>
        </w:rPr>
        <w:t xml:space="preserve">456</w:t>
      </w:r>
      <w:r>
        <w:t xml:space="preserve"> and </w:t>
      </w:r>
      <w:r>
        <w:rPr>
          <w:rStyle w:val="MdCode"/>
          <w:u w:val="single"/>
        </w:rPr>
        <w:t xml:space="preserve">789</w:t>
      </w:r>
      <w:r>
        <w:t xml:space="preserve">. For the strict four-class task, add:</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--num-classes 4 --four-classes angry,happy,sad,neutral</w:t>
      </w:r>
    </w:p>
    <w:p>
      <w:pPr>
        <w:pStyle w:val="MdSpace"/>
        <w:spacing w:before="0" w:after="60"/>
      </w:pPr>
    </w:p>
    <w:p>
      <w:pPr>
        <w:pStyle w:val="MdParagraph"/>
      </w:pPr>
      <w:r>
        <w:t xml:space="preserve">JAFFE follows the same architecture settings but uses a subject-aware fold manifest, batch size 32, ten epochs, and early-stopping patience 3.</w:t>
      </w:r>
    </w:p>
    <w:p>
      <w:pPr>
        <w:pStyle w:val="MdSpace"/>
        <w:spacing w:before="0" w:after="60"/>
      </w:pPr>
    </w:p>
    <w:p>
      <w:pPr>
        <w:pStyle w:val="Heading2"/>
        <w:pStyle w:val="MdHeading2"/>
      </w:pPr>
      <w:r>
        <w:t xml:space="preserve">Matched ablations</w:t>
      </w:r>
    </w:p>
    <w:p>
      <w:pPr>
        <w:pStyle w:val="MdParagraph"/>
      </w:pPr>
      <w:r>
        <w:t xml:space="preserve">Experiment batches are described by JSON specifications and executed with:</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experiments/run_ablation.py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--spec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/ABSOLUTE/PATH/ablation_spec.json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--output-root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runs/fer7</w:t>
      </w:r>
    </w:p>
    <w:p>
      <w:pPr>
        <w:pStyle w:val="MdSpace"/>
        <w:spacing w:before="0" w:after="60"/>
      </w:pPr>
    </w:p>
    <w:p>
      <w:pPr>
        <w:pStyle w:val="MdParagraph"/>
      </w:pPr>
      <w:r>
        <w:t xml:space="preserve">Validate paths and generated commands before training:</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experiments/run_ablation.py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--spec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/ABSOLUTE/PATH/ablation_spec.json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--output-root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runs/fer7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--dry-run</w:t>
      </w:r>
    </w:p>
    <w:p>
      <w:pPr>
        <w:pStyle w:val="MdSpace"/>
        <w:spacing w:before="0" w:after="60"/>
      </w:pPr>
    </w:p>
    <w:p>
      <w:pPr>
        <w:pStyle w:val="MdParagraph"/>
      </w:pPr>
      <w:r>
        <w:t xml:space="preserve">Every matched variant must use the same partitions, architecture budget, seeds, augmentations, optimizer, and checkpoint-selection rule. A separate random-matched prior should be generated for each training seed.</w:t>
      </w:r>
    </w:p>
    <w:p>
      <w:pPr>
        <w:pStyle w:val="MdSpace"/>
        <w:spacing w:before="0" w:after="60"/>
      </w:pPr>
    </w:p>
    <w:p>
      <w:pPr>
        <w:pStyle w:val="Heading2"/>
        <w:pStyle w:val="MdHeading2"/>
      </w:pPr>
      <w:r>
        <w:t xml:space="preserve">Evaluation and analysis</w:t>
      </w:r>
    </w:p>
    <w:p>
      <w:pPr>
        <w:pStyle w:val="MdParagraph"/>
      </w:pPr>
      <w:r>
        <w:t xml:space="preserve">Evaluate a stored checkpoint: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eval.py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--checkpoint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runs/fer7/fmri_weighted/seed_42/best_checkpoint.pt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--dataset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fer2013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--data-path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/ABSOLUTE/PATH/TO/FER2013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--split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--output-dir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reports/fer7/fmri_weighted_seed42</w:t>
      </w:r>
    </w:p>
    <w:p>
      <w:pPr>
        <w:pStyle w:val="MdSpace"/>
        <w:spacing w:before="0" w:after="60"/>
      </w:pPr>
    </w:p>
    <w:p>
      <w:pPr>
        <w:pStyle w:val="MdParagraph"/>
      </w:pPr>
      <w:r>
        <w:t xml:space="preserve">Aggregate runs and calculate paired statistics: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experiments/analyze_runs.py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runs/fer7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--metric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test_metrics.accuracy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--reference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fmri_weighted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--output-dir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reports/statistics/fer7</w:t>
      </w:r>
    </w:p>
    <w:p>
      <w:pPr>
        <w:pStyle w:val="MdSpace"/>
        <w:spacing w:before="0" w:after="60"/>
      </w:pPr>
    </w:p>
    <w:p>
      <w:pPr>
        <w:pStyle w:val="MdParagraph"/>
      </w:pPr>
      <w:r>
        <w:t xml:space="preserve">The R3 manuscript uses exact two-sided paired sign-flip tests because only three FER seeds or five JAFFE folds are available. Holm correction is applied within each dataset and metric family. The archived campaign analysis, not a normal-approximation t-test, is the authoritative source for manuscript values.</w:t>
      </w:r>
    </w:p>
    <w:p>
      <w:pPr>
        <w:pStyle w:val="MdSpace"/>
        <w:spacing w:before="0" w:after="60"/>
      </w:pPr>
    </w:p>
    <w:p>
      <w:pPr>
        <w:pStyle w:val="MdParagraph"/>
      </w:pPr>
      <w:r>
        <w:t xml:space="preserve">Direct FER-2013-to-JAFFE transfer without adaptation: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experiments.evaluate_cross_dataset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--checkpoint-root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runs/fer7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--jaffe-manifest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artifacts/manifests/jaffe_all.csv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--output-dir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reports/cross_dataset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--device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cpu</w:t>
      </w:r>
    </w:p>
    <w:p>
      <w:pPr>
        <w:pStyle w:val="MdSpace"/>
        <w:spacing w:before="0" w:after="60"/>
      </w:pPr>
    </w:p>
    <w:p>
      <w:pPr>
        <w:pStyle w:val="MdParagraph"/>
      </w:pPr>
      <w:r>
        <w:t xml:space="preserve">Calibration from archived predictions: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experiments.analyze_calibration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--runs-root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--cross-dataset-root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reports/cross_dataset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--output-dir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reports/calibration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--bins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p>
    <w:p>
      <w:pPr>
        <w:pStyle w:val="MdSpace"/>
        <w:spacing w:before="0" w:after="60"/>
      </w:pPr>
    </w:p>
    <w:p>
      <w:pPr>
        <w:pStyle w:val="MdParagraph"/>
      </w:pPr>
      <w:r>
        <w:t xml:space="preserve">Quantitative attention faithfulness on a frozen balanced FER subset: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experiments.evaluate_attention_faithfulness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--checkpoint-root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runs/fer4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--fer-data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/ABSOLUTE/PATH/TO/FER2013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--region-prior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artifacts/priors/cross_modal/equal_weight_functional_face_prior.npy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--output-dir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reports/attention_faithfulness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--per-class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--grid-size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--noise-std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--subset-seed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20260902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--perturbation-seed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20260902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--device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cpu</w:t>
      </w:r>
    </w:p>
    <w:p>
      <w:pPr>
        <w:pStyle w:val="MdSpace"/>
        <w:spacing w:before="0" w:after="60"/>
      </w:pPr>
    </w:p>
    <w:p>
      <w:pPr>
        <w:pStyle w:val="MdParagraph"/>
      </w:pPr>
      <w:r>
        <w:t xml:space="preserve">Inference-time prior misspecification: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experiments.evaluate_prior_sensitivity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--checkpoint-root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runs/fer4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--fer-data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/ABSOLUTE/PATH/TO/FER2013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--output-dir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reports/prior_sensitivity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--shift-pixels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--block-count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--permutation-seed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20260902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--evaluation-seed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20260902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--device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cpu</w:t>
      </w:r>
    </w:p>
    <w:p>
      <w:pPr>
        <w:pStyle w:val="MdSpace"/>
        <w:spacing w:before="0" w:after="60"/>
      </w:pPr>
    </w:p>
    <w:p>
      <w:pPr>
        <w:pStyle w:val="MdParagraph"/>
      </w:pPr>
      <w:r>
        <w:t xml:space="preserve">Robustness, attention export, and model profiling are available through:</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experiments.evaluate_robustness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--help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experiments.evaluate_attention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--help</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experiments.profile_model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--help</w:t>
      </w:r>
    </w:p>
    <w:p>
      <w:pPr>
        <w:pStyle w:val="MdSpace"/>
        <w:spacing w:before="0" w:after="60"/>
      </w:pPr>
    </w:p>
    <w:p>
      <w:pPr>
        <w:pStyle w:val="Heading2"/>
        <w:pStyle w:val="MdHeading2"/>
      </w:pPr>
      <w:r>
        <w:t xml:space="preserve">Reproduced manuscript results</w:t>
      </w:r>
    </w:p>
    <w:p>
      <w:pPr>
        <w:pStyle w:val="MdParagraph"/>
      </w:pPr>
      <w:r>
        <w:t xml:space="preserve">The values below are means from the archived R3 campaign. They are not state-of-the-art claims and should not be compared directly with studies using different architectures, resolutions, augmentations, pretraining, label spaces, or evaluation protocols.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Dataset and protocol</w:t>
            </w:r>
          </w:p>
        </w:tc>
        <w:tc>
          <w:tcPr>
            <w:tcMar>
              <w:top w:type="dxa" w:w="100"/>
              <w:left w:type="dxa" w:w="120"/>
              <w:bottom w:type="dxa" w:w="100"/>
              <w:right w:type="dxa" w:w="120"/>
            </w:tcMar>
            <w:vAlign w:val="center"/>
          </w:tcPr>
          <w:p>
            <w:pPr>
              <w:pStyle w:val="MdTableHeader"/>
              <w:jc w:val="right"/>
            </w:pPr>
            <w:r>
              <w:t xml:space="preserve">ResNet</w:t>
            </w:r>
          </w:p>
        </w:tc>
        <w:tc>
          <w:tcPr>
            <w:tcMar>
              <w:top w:type="dxa" w:w="100"/>
              <w:left w:type="dxa" w:w="120"/>
              <w:bottom w:type="dxa" w:w="100"/>
              <w:right w:type="dxa" w:w="120"/>
            </w:tcMar>
            <w:vAlign w:val="center"/>
          </w:tcPr>
          <w:p>
            <w:pPr>
              <w:pStyle w:val="MdTableHeader"/>
              <w:jc w:val="right"/>
            </w:pPr>
            <w:r>
              <w:t xml:space="preserve">CBAM</w:t>
            </w:r>
          </w:p>
        </w:tc>
        <w:tc>
          <w:tcPr>
            <w:tcMar>
              <w:top w:type="dxa" w:w="100"/>
              <w:left w:type="dxa" w:w="120"/>
              <w:bottom w:type="dxa" w:w="100"/>
              <w:right w:type="dxa" w:w="120"/>
            </w:tcMar>
            <w:vAlign w:val="center"/>
          </w:tcPr>
          <w:p>
            <w:pPr>
              <w:pStyle w:val="MdTableHeader"/>
              <w:jc w:val="right"/>
            </w:pPr>
            <w:r>
              <w:t xml:space="preserve">Generic saliency</w:t>
            </w:r>
          </w:p>
        </w:tc>
        <w:tc>
          <w:tcPr>
            <w:tcMar>
              <w:top w:type="dxa" w:w="100"/>
              <w:left w:type="dxa" w:w="120"/>
              <w:bottom w:type="dxa" w:w="100"/>
              <w:right w:type="dxa" w:w="120"/>
            </w:tcMar>
            <w:vAlign w:val="center"/>
          </w:tcPr>
          <w:p>
            <w:pPr>
              <w:pStyle w:val="MdTableHeader"/>
              <w:jc w:val="right"/>
            </w:pPr>
            <w:r>
              <w:t xml:space="preserve">Equal-weight face prior</w:t>
            </w:r>
          </w:p>
        </w:tc>
        <w:tc>
          <w:tcPr>
            <w:tcMar>
              <w:top w:type="dxa" w:w="100"/>
              <w:left w:type="dxa" w:w="120"/>
              <w:bottom w:type="dxa" w:w="100"/>
              <w:right w:type="dxa" w:w="120"/>
            </w:tcMar>
            <w:vAlign w:val="center"/>
          </w:tcPr>
          <w:p>
            <w:pPr>
              <w:pStyle w:val="MdTableHeader"/>
              <w:jc w:val="right"/>
            </w:pPr>
            <w:r>
              <w:t xml:space="preserve">fMRI-weighted prior</w:t>
            </w:r>
          </w:p>
        </w:tc>
        <w:tc>
          <w:tcPr>
            <w:tcBorders>
              <w:right w:val="none"/>
            </w:tcBorders>
            <w:tcMar>
              <w:top w:type="dxa" w:w="100"/>
              <w:left w:type="dxa" w:w="120"/>
              <w:bottom w:type="dxa" w:w="100"/>
              <w:right w:type="dxa" w:w="120"/>
            </w:tcMar>
            <w:vAlign w:val="center"/>
          </w:tcPr>
          <w:p>
            <w:pPr>
              <w:pStyle w:val="MdTableHeader"/>
              <w:jc w:val="right"/>
            </w:pPr>
            <w:r>
              <w:t xml:space="preserve">Random-matched prior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FER-2013, official 7-class accuracy</w:t>
            </w:r>
          </w:p>
        </w:tc>
        <w:tc>
          <w:tcPr>
            <w:tcMar>
              <w:top w:type="dxa" w:w="80"/>
              <w:left w:type="dxa" w:w="120"/>
              <w:bottom w:type="dxa" w:w="80"/>
              <w:right w:type="dxa" w:w="120"/>
            </w:tcMar>
            <w:vAlign w:val="center"/>
          </w:tcPr>
          <w:p>
            <w:pPr>
              <w:pStyle w:val="MdTableCell"/>
              <w:jc w:val="right"/>
            </w:pPr>
            <w:r>
              <w:t xml:space="preserve">61.42%</w:t>
            </w:r>
          </w:p>
        </w:tc>
        <w:tc>
          <w:tcPr>
            <w:tcMar>
              <w:top w:type="dxa" w:w="80"/>
              <w:left w:type="dxa" w:w="120"/>
              <w:bottom w:type="dxa" w:w="80"/>
              <w:right w:type="dxa" w:w="120"/>
            </w:tcMar>
            <w:vAlign w:val="center"/>
          </w:tcPr>
          <w:p>
            <w:pPr>
              <w:pStyle w:val="MdTableCell"/>
              <w:jc w:val="right"/>
            </w:pPr>
            <w:r>
              <w:rPr>
                <w:rStyle w:val="MdStrong"/>
                <w:b/>
                <w:bCs/>
              </w:rPr>
              <w:t xml:space="preserve">61.86%</w:t>
            </w:r>
          </w:p>
        </w:tc>
        <w:tc>
          <w:tcPr>
            <w:tcMar>
              <w:top w:type="dxa" w:w="80"/>
              <w:left w:type="dxa" w:w="120"/>
              <w:bottom w:type="dxa" w:w="80"/>
              <w:right w:type="dxa" w:w="120"/>
            </w:tcMar>
            <w:vAlign w:val="center"/>
          </w:tcPr>
          <w:p>
            <w:pPr>
              <w:pStyle w:val="MdTableCell"/>
              <w:jc w:val="right"/>
            </w:pPr>
            <w:r>
              <w:t xml:space="preserve">60.61%</w:t>
            </w:r>
          </w:p>
        </w:tc>
        <w:tc>
          <w:tcPr>
            <w:tcMar>
              <w:top w:type="dxa" w:w="80"/>
              <w:left w:type="dxa" w:w="120"/>
              <w:bottom w:type="dxa" w:w="80"/>
              <w:right w:type="dxa" w:w="120"/>
            </w:tcMar>
            <w:vAlign w:val="center"/>
          </w:tcPr>
          <w:p>
            <w:pPr>
              <w:pStyle w:val="MdTableCell"/>
              <w:jc w:val="right"/>
            </w:pPr>
            <w:r>
              <w:t xml:space="preserve">61.65%</w:t>
            </w:r>
          </w:p>
        </w:tc>
        <w:tc>
          <w:tcPr>
            <w:tcMar>
              <w:top w:type="dxa" w:w="80"/>
              <w:left w:type="dxa" w:w="120"/>
              <w:bottom w:type="dxa" w:w="80"/>
              <w:right w:type="dxa" w:w="120"/>
            </w:tcMar>
            <w:vAlign w:val="center"/>
          </w:tcPr>
          <w:p>
            <w:pPr>
              <w:pStyle w:val="MdTableCell"/>
              <w:jc w:val="right"/>
            </w:pPr>
            <w:r>
              <w:t xml:space="preserve">61.36%</w:t>
            </w:r>
          </w:p>
        </w:tc>
        <w:tc>
          <w:tcPr>
            <w:tcBorders>
              <w:right w:val="none"/>
            </w:tcBorders>
            <w:tcMar>
              <w:top w:type="dxa" w:w="80"/>
              <w:left w:type="dxa" w:w="120"/>
              <w:bottom w:type="dxa" w:w="80"/>
              <w:right w:type="dxa" w:w="120"/>
            </w:tcMar>
            <w:vAlign w:val="center"/>
          </w:tcPr>
          <w:p>
            <w:pPr>
              <w:pStyle w:val="MdTableCell"/>
              <w:jc w:val="righ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FER-2013, strict 4-class accuracy</w:t>
            </w:r>
          </w:p>
        </w:tc>
        <w:tc>
          <w:tcPr>
            <w:tcMar>
              <w:top w:type="dxa" w:w="80"/>
              <w:left w:type="dxa" w:w="120"/>
              <w:bottom w:type="dxa" w:w="80"/>
              <w:right w:type="dxa" w:w="120"/>
            </w:tcMar>
            <w:vAlign w:val="center"/>
          </w:tcPr>
          <w:p>
            <w:pPr>
              <w:pStyle w:val="MdTableCell"/>
              <w:jc w:val="right"/>
            </w:pPr>
            <w:r>
              <w:t xml:space="preserve">70.44%</w:t>
            </w:r>
          </w:p>
        </w:tc>
        <w:tc>
          <w:tcPr>
            <w:tcMar>
              <w:top w:type="dxa" w:w="80"/>
              <w:left w:type="dxa" w:w="120"/>
              <w:bottom w:type="dxa" w:w="80"/>
              <w:right w:type="dxa" w:w="120"/>
            </w:tcMar>
            <w:vAlign w:val="center"/>
          </w:tcPr>
          <w:p>
            <w:pPr>
              <w:pStyle w:val="MdTableCell"/>
              <w:jc w:val="right"/>
            </w:pPr>
            <w:r>
              <w:t xml:space="preserve">71.26%</w:t>
            </w:r>
          </w:p>
        </w:tc>
        <w:tc>
          <w:tcPr>
            <w:tcMar>
              <w:top w:type="dxa" w:w="80"/>
              <w:left w:type="dxa" w:w="120"/>
              <w:bottom w:type="dxa" w:w="80"/>
              <w:right w:type="dxa" w:w="120"/>
            </w:tcMar>
            <w:vAlign w:val="center"/>
          </w:tcPr>
          <w:p>
            <w:pPr>
              <w:pStyle w:val="MdTableCell"/>
              <w:jc w:val="right"/>
            </w:pPr>
            <w:r>
              <w:rPr>
                <w:rStyle w:val="MdStrong"/>
                <w:b/>
                <w:bCs/>
              </w:rPr>
              <w:t xml:space="preserve">71.33%</w:t>
            </w:r>
          </w:p>
        </w:tc>
        <w:tc>
          <w:tcPr>
            <w:tcMar>
              <w:top w:type="dxa" w:w="80"/>
              <w:left w:type="dxa" w:w="120"/>
              <w:bottom w:type="dxa" w:w="80"/>
              <w:right w:type="dxa" w:w="120"/>
            </w:tcMar>
            <w:vAlign w:val="center"/>
          </w:tcPr>
          <w:p>
            <w:pPr>
              <w:pStyle w:val="MdTableCell"/>
              <w:jc w:val="right"/>
            </w:pPr>
            <w:r>
              <w:t xml:space="preserve">70.85%</w:t>
            </w:r>
          </w:p>
        </w:tc>
        <w:tc>
          <w:tcPr>
            <w:tcMar>
              <w:top w:type="dxa" w:w="80"/>
              <w:left w:type="dxa" w:w="120"/>
              <w:bottom w:type="dxa" w:w="80"/>
              <w:right w:type="dxa" w:w="120"/>
            </w:tcMar>
            <w:vAlign w:val="center"/>
          </w:tcPr>
          <w:p>
            <w:pPr>
              <w:pStyle w:val="MdTableCell"/>
              <w:jc w:val="right"/>
            </w:pPr>
            <w:r>
              <w:t xml:space="preserve">70.00%</w:t>
            </w:r>
          </w:p>
        </w:tc>
        <w:tc>
          <w:tcPr>
            <w:tcBorders>
              <w:right w:val="none"/>
            </w:tcBorders>
            <w:tcMar>
              <w:top w:type="dxa" w:w="80"/>
              <w:left w:type="dxa" w:w="120"/>
              <w:bottom w:type="dxa" w:w="80"/>
              <w:right w:type="dxa" w:w="120"/>
            </w:tcMar>
            <w:vAlign w:val="center"/>
          </w:tcPr>
          <w:p>
            <w:pPr>
              <w:pStyle w:val="MdTableCell"/>
              <w:jc w:val="right"/>
            </w:pPr>
            <w:r>
              <w:t xml:space="preserve">71.20%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JAFFE, subject-disjoint 5-fold accuracy</w:t>
            </w:r>
          </w:p>
        </w:tc>
        <w:tc>
          <w:tcPr>
            <w:tcBorders>
              <w:bottom w:val="single" w:color="E1E4E8" w:sz="4"/>
            </w:tcBorders>
            <w:tcMar>
              <w:top w:type="dxa" w:w="80"/>
              <w:left w:type="dxa" w:w="120"/>
              <w:bottom w:type="dxa" w:w="80"/>
              <w:right w:type="dxa" w:w="120"/>
            </w:tcMar>
            <w:vAlign w:val="center"/>
          </w:tcPr>
          <w:p>
            <w:pPr>
              <w:pStyle w:val="MdTableCell"/>
              <w:jc w:val="right"/>
            </w:pPr>
            <w:r>
              <w:t xml:space="preserve">47.37%</w:t>
            </w:r>
          </w:p>
        </w:tc>
        <w:tc>
          <w:tcPr>
            <w:tcBorders>
              <w:bottom w:val="single" w:color="E1E4E8" w:sz="4"/>
            </w:tcBorders>
            <w:tcMar>
              <w:top w:type="dxa" w:w="80"/>
              <w:left w:type="dxa" w:w="120"/>
              <w:bottom w:type="dxa" w:w="80"/>
              <w:right w:type="dxa" w:w="120"/>
            </w:tcMar>
            <w:vAlign w:val="center"/>
          </w:tcPr>
          <w:p>
            <w:pPr>
              <w:pStyle w:val="MdTableCell"/>
              <w:jc w:val="right"/>
            </w:pPr>
            <w:r>
              <w:rPr>
                <w:rStyle w:val="MdStrong"/>
                <w:b/>
                <w:bCs/>
              </w:rPr>
              <w:t xml:space="preserve">52.59%</w:t>
            </w:r>
          </w:p>
        </w:tc>
        <w:tc>
          <w:tcPr>
            <w:tcBorders>
              <w:bottom w:val="single" w:color="E1E4E8" w:sz="4"/>
            </w:tcBorders>
            <w:tcMar>
              <w:top w:type="dxa" w:w="80"/>
              <w:left w:type="dxa" w:w="120"/>
              <w:bottom w:type="dxa" w:w="80"/>
              <w:right w:type="dxa" w:w="120"/>
            </w:tcMar>
            <w:vAlign w:val="center"/>
          </w:tcPr>
          <w:p>
            <w:pPr>
              <w:pStyle w:val="MdTableCell"/>
              <w:jc w:val="right"/>
            </w:pPr>
            <w:r>
              <w:t xml:space="preserve">38.93%</w:t>
            </w:r>
          </w:p>
        </w:tc>
        <w:tc>
          <w:tcPr>
            <w:tcBorders>
              <w:bottom w:val="single" w:color="E1E4E8" w:sz="4"/>
            </w:tcBorders>
            <w:tcMar>
              <w:top w:type="dxa" w:w="80"/>
              <w:left w:type="dxa" w:w="120"/>
              <w:bottom w:type="dxa" w:w="80"/>
              <w:right w:type="dxa" w:w="120"/>
            </w:tcMar>
            <w:vAlign w:val="center"/>
          </w:tcPr>
          <w:p>
            <w:pPr>
              <w:pStyle w:val="MdTableCell"/>
              <w:jc w:val="right"/>
            </w:pPr>
            <w:r>
              <w:t xml:space="preserve">43.66%</w:t>
            </w:r>
          </w:p>
        </w:tc>
        <w:tc>
          <w:tcPr>
            <w:tcBorders>
              <w:bottom w:val="single" w:color="E1E4E8" w:sz="4"/>
            </w:tcBorders>
            <w:tcMar>
              <w:top w:type="dxa" w:w="80"/>
              <w:left w:type="dxa" w:w="120"/>
              <w:bottom w:type="dxa" w:w="80"/>
              <w:right w:type="dxa" w:w="120"/>
            </w:tcMar>
            <w:vAlign w:val="center"/>
          </w:tcPr>
          <w:p>
            <w:pPr>
              <w:pStyle w:val="MdTableCell"/>
              <w:jc w:val="right"/>
            </w:pPr>
            <w:r>
              <w:t xml:space="preserve">45.64%</w:t>
            </w:r>
          </w:p>
        </w:tc>
        <w:tc>
          <w:tcPr>
            <w:tcBorders>
              <w:bottom w:val="single" w:color="E1E4E8" w:sz="4"/>
              <w:right w:val="none"/>
            </w:tcBorders>
            <w:tcMar>
              <w:top w:type="dxa" w:w="80"/>
              <w:left w:type="dxa" w:w="120"/>
              <w:bottom w:type="dxa" w:w="80"/>
              <w:right w:type="dxa" w:w="120"/>
            </w:tcMar>
            <w:vAlign w:val="center"/>
          </w:tcPr>
          <w:p>
            <w:pPr>
              <w:pStyle w:val="MdTableCell"/>
              <w:jc w:val="right"/>
            </w:pPr>
            <w:r>
              <w:t xml:space="preserve">—</w:t>
            </w:r>
          </w:p>
        </w:tc>
      </w:tr>
    </w:tbl>
    <w:p>
      <w:pPr>
        <w:pStyle w:val="MdParagraph"/>
      </w:pPr>
      <w:r>
        <w:t xml:space="preserve">No fMRI-weighted comparison was statistically significant after Holm correction. The learned gates remained small, and prior misspecification produced limited accuracy changes. These outcomes bound the scientific claim: the implementation is reproducible and testable, but the present data do not establish a specific performance benefit from fMRI weighting.</w:t>
      </w:r>
    </w:p>
    <w:p>
      <w:pPr>
        <w:pStyle w:val="MdSpace"/>
        <w:spacing w:before="0" w:after="60"/>
      </w:pPr>
    </w:p>
    <w:p>
      <w:pPr>
        <w:pStyle w:val="Heading2"/>
        <w:pStyle w:val="MdHeading2"/>
      </w:pPr>
      <w:r>
        <w:t xml:space="preserve">Reproducibility artifacts</w:t>
      </w:r>
    </w:p>
    <w:p>
      <w:pPr>
        <w:pStyle w:val="MdParagraph"/>
      </w:pPr>
      <w:r>
        <w:t xml:space="preserve">The companion archive </w:t>
      </w:r>
      <w:r>
        <w:rPr>
          <w:rStyle w:val="MdCode"/>
          <w:u w:val="single"/>
        </w:rPr>
        <w:t xml:space="preserve">Bio-CBAM_MTAP_R3_Reproducibility_Evidence.zip</w:t>
      </w:r>
      <w:r>
        <w:t xml:space="preserve"> contains the exact experiment specifications, data audits, subject-disjoint manifests without images, run summaries, 73 prediction sets, paired statistics, calibration results, robustness reports, attention-faithfulness outputs, prior-sensitivity results, threshold-sensitivity results, provenance metadata, and figure-generation inputs.</w:t>
      </w:r>
    </w:p>
    <w:p>
      <w:pPr>
        <w:pStyle w:val="MdSpace"/>
        <w:spacing w:before="0" w:after="60"/>
      </w:pPr>
    </w:p>
    <w:p>
      <w:pPr>
        <w:pStyle w:val="MdParagraph"/>
      </w:pPr>
      <w:r>
        <w:t xml:space="preserve">Large checkpoint files and licensed datasets are intentionally excluded from the standard public archive. Every checkpoint-producing command, seed, configuration, and expected output structure is documented so that authorized users can regenerate them.</w:t>
      </w:r>
    </w:p>
    <w:p>
      <w:pPr>
        <w:pStyle w:val="MdSpace"/>
        <w:spacing w:before="0" w:after="60"/>
      </w:pPr>
    </w:p>
    <w:p>
      <w:pPr>
        <w:pStyle w:val="Heading2"/>
        <w:pStyle w:val="MdHeading2"/>
      </w:pPr>
      <w:r>
        <w:t xml:space="preserve">Citation</w:t>
      </w:r>
    </w:p>
    <w:p>
      <w:pPr>
        <w:pStyle w:val="MdParagraph"/>
      </w:pPr>
      <w:r>
        <w:t xml:space="preserve">Until the article is formally published, cite the work as a submitted manuscript and use the metadata in </w:t>
      </w:r>
      <w:r>
        <w:rPr>
          <w:rStyle w:val="MdCode"/>
          <w:u w:val="single"/>
        </w:rPr>
        <w:t xml:space="preserve">CITATION.cff</w:t>
      </w:r>
      <w:r>
        <w:t xml:space="preserve">. Do not assign a DOI, issue, volume, or acceptance status that has not been issued by the journal.</w:t>
      </w:r>
    </w:p>
    <w:p>
      <w:pPr>
        <w:pStyle w:val="MdSpace"/>
        <w:spacing w:before="0" w:after="60"/>
      </w:pPr>
    </w:p>
    <w:p>
      <w:pPr>
        <w:pStyle w:val="Heading2"/>
        <w:pStyle w:val="MdHeading2"/>
      </w:pPr>
      <w:r>
        <w:t xml:space="preserve">License</w:t>
      </w:r>
    </w:p>
    <w:p>
      <w:pPr>
        <w:pStyle w:val="MdParagraph"/>
      </w:pPr>
      <w:r>
        <w:t xml:space="preserve">The source code is distributed under the license in </w:t>
      </w:r>
      <w:r>
        <w:rPr>
          <w:rStyle w:val="MdCode"/>
          <w:u w:val="single"/>
        </w:rPr>
        <w:t xml:space="preserve">LICENSE</w:t>
      </w:r>
      <w:r>
        <w:t xml:space="preserve">. Dataset images, public neuroimaging files, and third-party behavioral supplements remain governed by their original licenses and terms of use.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7yzldh_ncj0w7vdznmxp3" Type="http://schemas.openxmlformats.org/officeDocument/2006/relationships/hyperlink" Target="https://doi.org/10.18112/openneuro.ds003548.v1.0.1" TargetMode="External"/><Relationship Id="rIdhlaxkwxaxili76yzxe36a" Type="http://schemas.openxmlformats.org/officeDocument/2006/relationships/hyperlink" Target="https://identifiers.org/neurovault.collection:9492" TargetMode="External"/><Relationship Id="rIdz7ipdvuq0n57cqonobyot" Type="http://schemas.openxmlformats.org/officeDocument/2006/relationships/hyperlink" Target="https://doi.org/10.1371/journal.pone.0177239"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2026-09-09T10:32:03.600Z</dcterms:created>
  <dcterms:modified xsi:type="dcterms:W3CDTF">2026-09-09T10:32:03.600Z</dcterms:modified>
</cp:coreProperties>
</file>

<file path=docProps/custom.xml><?xml version="1.0" encoding="utf-8"?>
<Properties xmlns="http://schemas.openxmlformats.org/officeDocument/2006/custom-properties" xmlns:vt="http://schemas.openxmlformats.org/officeDocument/2006/docPropsVTypes"/>
</file>