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66913" w14:textId="77777777" w:rsidR="009D3B3A" w:rsidRPr="00EE3BA9" w:rsidRDefault="009D3B3A" w:rsidP="00E478F8">
      <w:pPr>
        <w:pStyle w:val="p-margin"/>
        <w:numPr>
          <w:ilvl w:val="0"/>
          <w:numId w:val="2"/>
        </w:numPr>
        <w:shd w:val="clear" w:color="auto" w:fill="FFFFFF"/>
        <w:spacing w:before="0" w:beforeAutospacing="0" w:after="210" w:afterAutospacing="0" w:line="276" w:lineRule="auto"/>
        <w:jc w:val="both"/>
        <w:rPr>
          <w:color w:val="00B050"/>
          <w:sz w:val="36"/>
          <w:szCs w:val="36"/>
        </w:rPr>
      </w:pPr>
      <w:r w:rsidRPr="00EE3BA9">
        <w:rPr>
          <w:color w:val="FF0000"/>
          <w:sz w:val="36"/>
          <w:szCs w:val="36"/>
        </w:rPr>
        <w:t>Explainable AI</w:t>
      </w:r>
      <w:r w:rsidRPr="00EE3BA9">
        <w:rPr>
          <w:color w:val="05192D"/>
          <w:sz w:val="36"/>
          <w:szCs w:val="36"/>
        </w:rPr>
        <w:t xml:space="preserve"> refers to </w:t>
      </w:r>
      <w:r w:rsidRPr="00EE3BA9">
        <w:rPr>
          <w:color w:val="00B050"/>
          <w:sz w:val="36"/>
          <w:szCs w:val="36"/>
        </w:rPr>
        <w:t>a set of processes and methods that aim to provide a clear and human-understandable explanation for the decisions generated by AI and machine learning models.</w:t>
      </w:r>
    </w:p>
    <w:p w14:paraId="2809EB86" w14:textId="77777777" w:rsidR="009D3B3A" w:rsidRPr="00EE3BA9" w:rsidRDefault="009D3B3A" w:rsidP="00E478F8">
      <w:pPr>
        <w:pStyle w:val="p-margin"/>
        <w:numPr>
          <w:ilvl w:val="0"/>
          <w:numId w:val="2"/>
        </w:numPr>
        <w:shd w:val="clear" w:color="auto" w:fill="FFFFFF"/>
        <w:spacing w:before="0" w:beforeAutospacing="0" w:after="210" w:afterAutospacing="0" w:line="276" w:lineRule="auto"/>
        <w:jc w:val="both"/>
        <w:rPr>
          <w:color w:val="00B050"/>
          <w:sz w:val="36"/>
          <w:szCs w:val="36"/>
        </w:rPr>
      </w:pPr>
      <w:r w:rsidRPr="00EE3BA9">
        <w:rPr>
          <w:color w:val="FF0000"/>
          <w:sz w:val="36"/>
          <w:szCs w:val="36"/>
        </w:rPr>
        <w:t>Integrating an explainability layer into these models</w:t>
      </w:r>
      <w:r w:rsidRPr="00EE3BA9">
        <w:rPr>
          <w:color w:val="05192D"/>
          <w:sz w:val="36"/>
          <w:szCs w:val="36"/>
        </w:rPr>
        <w:t xml:space="preserve">, Data Scientists and Machine Learning practitioners can create more trustworthy and transparent systems to assist </w:t>
      </w:r>
      <w:r w:rsidRPr="00EE3BA9">
        <w:rPr>
          <w:color w:val="00B050"/>
          <w:sz w:val="36"/>
          <w:szCs w:val="36"/>
        </w:rPr>
        <w:t>a wide range of stakeholders such as developers, regulators, and end-users.</w:t>
      </w:r>
    </w:p>
    <w:p w14:paraId="6A21A5C9" w14:textId="77777777" w:rsidR="009D3B3A" w:rsidRPr="00EE3BA9" w:rsidRDefault="009D3B3A" w:rsidP="00EE3BA9">
      <w:pPr>
        <w:shd w:val="clear" w:color="auto" w:fill="FFFFFF"/>
        <w:spacing w:before="360" w:after="36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pacing w:val="-8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spacing w:val="-8"/>
          <w:kern w:val="0"/>
          <w:sz w:val="32"/>
          <w:szCs w:val="32"/>
          <w:lang w:eastAsia="en-IN"/>
          <w14:ligatures w14:val="none"/>
        </w:rPr>
        <w:t>Building Trust Through Explainable AI</w:t>
      </w:r>
    </w:p>
    <w:p w14:paraId="27E1F540" w14:textId="77777777" w:rsidR="009D3B3A" w:rsidRPr="00EE3BA9" w:rsidRDefault="009D3B3A" w:rsidP="00E478F8">
      <w:p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Here are some explainable AI principles that can contribute to building trust:</w:t>
      </w:r>
    </w:p>
    <w:p w14:paraId="228A5AF0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Transparency.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 Ensuring stakeholders understand the models’ decision-making process.</w:t>
      </w:r>
    </w:p>
    <w:p w14:paraId="30CF75FE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Fairness.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 Ensuring that the models’ decisions are fair for everyone, including people in protected groups (race, religion, gender, disability, ethnicity).</w:t>
      </w:r>
    </w:p>
    <w:p w14:paraId="21EE4BB8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Trust.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 Assessing the confidence level of human users using the AI system.</w:t>
      </w:r>
    </w:p>
    <w:p w14:paraId="4DDB9F65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Robustness.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 Being resilient to changes in input data or model parameters, maintaining consistent and reliable performance even when faced with uncertainty or unexpected situations.</w:t>
      </w:r>
    </w:p>
    <w:p w14:paraId="7D7EBF74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Privacy.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 Guaranteeing the protection of sensitive user information.</w:t>
      </w:r>
    </w:p>
    <w:p w14:paraId="0283B636" w14:textId="77777777" w:rsidR="009D3B3A" w:rsidRPr="00EE3BA9" w:rsidRDefault="009D3B3A" w:rsidP="00E478F8">
      <w:pPr>
        <w:numPr>
          <w:ilvl w:val="0"/>
          <w:numId w:val="1"/>
        </w:num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</w:pPr>
      <w:r w:rsidRPr="00EE3BA9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eastAsia="en-IN"/>
          <w14:ligatures w14:val="none"/>
        </w:rPr>
        <w:t>Interpretability. </w:t>
      </w:r>
      <w:r w:rsidRPr="00EE3BA9"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eastAsia="en-IN"/>
          <w14:ligatures w14:val="none"/>
        </w:rPr>
        <w:t>Providing human-understandable explanations for their predictions and outcomes.</w:t>
      </w:r>
    </w:p>
    <w:p w14:paraId="11F18CF2" w14:textId="77777777" w:rsidR="00E47C02" w:rsidRDefault="00E47C02" w:rsidP="00E47C02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5192D"/>
          <w:kern w:val="0"/>
          <w:lang w:eastAsia="en-IN"/>
          <w14:ligatures w14:val="none"/>
        </w:rPr>
      </w:pPr>
    </w:p>
    <w:p w14:paraId="22D40F7F" w14:textId="77777777" w:rsidR="00E47C02" w:rsidRDefault="00E47C02" w:rsidP="00E47C02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5192D"/>
          <w:kern w:val="0"/>
          <w:lang w:eastAsia="en-IN"/>
          <w14:ligatures w14:val="none"/>
        </w:rPr>
      </w:pPr>
    </w:p>
    <w:p w14:paraId="6D322ACF" w14:textId="31761D55" w:rsidR="00E47C02" w:rsidRPr="00E478F8" w:rsidRDefault="00E478F8" w:rsidP="00E478F8">
      <w:pPr>
        <w:shd w:val="clear" w:color="auto" w:fill="FFFFFF"/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lastRenderedPageBreak/>
        <w:t>ARCHITECTURE</w:t>
      </w:r>
    </w:p>
    <w:p w14:paraId="554B9091" w14:textId="2BFF0AF7" w:rsidR="00E47C02" w:rsidRDefault="00E47C02" w:rsidP="00E47C02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5192D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EA8F80" wp14:editId="01E13933">
            <wp:extent cx="5731510" cy="2439035"/>
            <wp:effectExtent l="0" t="0" r="2540" b="0"/>
            <wp:docPr id="1844727906" name="Picture 1" descr="A diagram of a model train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7906" name="Picture 1" descr="A diagram of a model train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BF65" w14:textId="77777777" w:rsidR="00E47C02" w:rsidRDefault="00E47C02" w:rsidP="00E47C02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color w:val="05192D"/>
          <w:kern w:val="0"/>
          <w:lang w:eastAsia="en-IN"/>
          <w14:ligatures w14:val="none"/>
        </w:rPr>
      </w:pPr>
    </w:p>
    <w:p w14:paraId="6CEEA18D" w14:textId="77777777" w:rsidR="00EE3BA9" w:rsidRPr="00E478F8" w:rsidRDefault="00DB362A" w:rsidP="009D3B3A">
      <w:pPr>
        <w:spacing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  <w:r w:rsidRPr="00E478F8"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  <w:t xml:space="preserve">There are two broad categories of model explainability: </w:t>
      </w:r>
    </w:p>
    <w:p w14:paraId="5891A524" w14:textId="77777777" w:rsidR="00EE3BA9" w:rsidRPr="00E478F8" w:rsidRDefault="00DB362A" w:rsidP="00E478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40"/>
          <w:szCs w:val="40"/>
          <w:shd w:val="clear" w:color="auto" w:fill="FFFFFF"/>
        </w:rPr>
      </w:pPr>
      <w:r w:rsidRPr="00E478F8">
        <w:rPr>
          <w:rFonts w:ascii="Times New Roman" w:hAnsi="Times New Roman" w:cs="Times New Roman"/>
          <w:color w:val="FF0000"/>
          <w:sz w:val="40"/>
          <w:szCs w:val="40"/>
          <w:shd w:val="clear" w:color="auto" w:fill="FFFFFF"/>
        </w:rPr>
        <w:t xml:space="preserve">model-specific methods and </w:t>
      </w:r>
    </w:p>
    <w:p w14:paraId="4D8ECE09" w14:textId="19B890A4" w:rsidR="009D3B3A" w:rsidRPr="00E478F8" w:rsidRDefault="00DB362A" w:rsidP="00E478F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40"/>
          <w:szCs w:val="40"/>
          <w:shd w:val="clear" w:color="auto" w:fill="FFFFFF"/>
        </w:rPr>
      </w:pPr>
      <w:r w:rsidRPr="00E478F8">
        <w:rPr>
          <w:rFonts w:ascii="Times New Roman" w:hAnsi="Times New Roman" w:cs="Times New Roman"/>
          <w:color w:val="FF0000"/>
          <w:sz w:val="40"/>
          <w:szCs w:val="40"/>
          <w:shd w:val="clear" w:color="auto" w:fill="FFFFFF"/>
        </w:rPr>
        <w:t>model-agnostic methods. </w:t>
      </w:r>
    </w:p>
    <w:p w14:paraId="1109F03F" w14:textId="48D14791" w:rsidR="00DB362A" w:rsidRPr="00E478F8" w:rsidRDefault="00DB362A" w:rsidP="009D3B3A">
      <w:pPr>
        <w:spacing w:line="360" w:lineRule="auto"/>
        <w:jc w:val="both"/>
        <w:rPr>
          <w:rFonts w:ascii="Times New Roman" w:hAnsi="Times New Roman" w:cs="Times New Roman"/>
          <w:color w:val="00B050"/>
          <w:sz w:val="40"/>
          <w:szCs w:val="40"/>
          <w:shd w:val="clear" w:color="auto" w:fill="FFFFFF"/>
        </w:rPr>
      </w:pPr>
      <w:r w:rsidRPr="00E478F8">
        <w:rPr>
          <w:rFonts w:ascii="Times New Roman" w:hAnsi="Times New Roman" w:cs="Times New Roman"/>
          <w:color w:val="00B050"/>
          <w:sz w:val="40"/>
          <w:szCs w:val="40"/>
          <w:shd w:val="clear" w:color="auto" w:fill="FFFFFF"/>
        </w:rPr>
        <w:t>Both techniques can offer valuable insights into the inner working of machine learning models while ensuring that the models are effective and accountable.</w:t>
      </w:r>
    </w:p>
    <w:p w14:paraId="1659E7B0" w14:textId="77777777" w:rsidR="00DB362A" w:rsidRDefault="00DB362A" w:rsidP="009D3B3A">
      <w:pPr>
        <w:spacing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</w:p>
    <w:p w14:paraId="3FD940C0" w14:textId="77777777" w:rsidR="00E478F8" w:rsidRDefault="00E478F8" w:rsidP="009D3B3A">
      <w:pPr>
        <w:spacing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</w:p>
    <w:p w14:paraId="6EC33D99" w14:textId="77777777" w:rsidR="00E478F8" w:rsidRPr="00E478F8" w:rsidRDefault="00E478F8" w:rsidP="009D3B3A">
      <w:pPr>
        <w:spacing w:line="360" w:lineRule="auto"/>
        <w:jc w:val="both"/>
        <w:rPr>
          <w:rFonts w:ascii="Times New Roman" w:hAnsi="Times New Roman" w:cs="Times New Roman"/>
          <w:color w:val="05192D"/>
          <w:sz w:val="40"/>
          <w:szCs w:val="40"/>
          <w:shd w:val="clear" w:color="auto" w:fill="FFFFFF"/>
        </w:rPr>
      </w:pPr>
    </w:p>
    <w:p w14:paraId="12FD1E5A" w14:textId="77777777" w:rsidR="00DB362A" w:rsidRDefault="00DB362A" w:rsidP="009D3B3A">
      <w:pPr>
        <w:spacing w:line="360" w:lineRule="auto"/>
        <w:jc w:val="both"/>
        <w:rPr>
          <w:rFonts w:ascii="Arial" w:hAnsi="Arial" w:cs="Arial"/>
          <w:color w:val="05192D"/>
          <w:shd w:val="clear" w:color="auto" w:fill="FFFFFF"/>
        </w:rPr>
      </w:pPr>
    </w:p>
    <w:p w14:paraId="03CCA2CD" w14:textId="77777777" w:rsidR="00DB362A" w:rsidRDefault="00DB362A" w:rsidP="009D3B3A">
      <w:pPr>
        <w:spacing w:line="360" w:lineRule="auto"/>
        <w:jc w:val="both"/>
        <w:rPr>
          <w:rFonts w:ascii="Arial" w:hAnsi="Arial" w:cs="Arial"/>
          <w:color w:val="05192D"/>
          <w:shd w:val="clear" w:color="auto" w:fill="FFFFFF"/>
        </w:rPr>
      </w:pPr>
    </w:p>
    <w:p w14:paraId="2634D292" w14:textId="77777777" w:rsidR="00DB362A" w:rsidRPr="00E478F8" w:rsidRDefault="00DB362A" w:rsidP="00DB362A">
      <w:pPr>
        <w:shd w:val="clear" w:color="auto" w:fill="FFFFFF"/>
        <w:spacing w:before="240" w:after="240" w:line="240" w:lineRule="auto"/>
        <w:outlineLvl w:val="2"/>
        <w:rPr>
          <w:rFonts w:ascii="Times New Roman" w:eastAsia="Times New Roman" w:hAnsi="Times New Roman" w:cs="Times New Roman"/>
          <w:color w:val="00B050"/>
          <w:kern w:val="0"/>
          <w:sz w:val="40"/>
          <w:szCs w:val="40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color w:val="00B050"/>
          <w:kern w:val="0"/>
          <w:sz w:val="40"/>
          <w:szCs w:val="40"/>
          <w:lang w:eastAsia="en-IN"/>
          <w14:ligatures w14:val="none"/>
        </w:rPr>
        <w:lastRenderedPageBreak/>
        <w:t>Model-agnostic methods</w:t>
      </w:r>
    </w:p>
    <w:p w14:paraId="51D1404F" w14:textId="77777777" w:rsidR="00EE3BA9" w:rsidRPr="00E478F8" w:rsidRDefault="00DB362A" w:rsidP="00DB362A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  <w:t xml:space="preserve">These methods can be applied to any machine learning model, regardless of its structure or type. </w:t>
      </w:r>
    </w:p>
    <w:p w14:paraId="537EE482" w14:textId="6B638735" w:rsidR="00DB362A" w:rsidRPr="00E478F8" w:rsidRDefault="00DB362A" w:rsidP="00DB362A">
      <w:pPr>
        <w:shd w:val="clear" w:color="auto" w:fill="FFFFFF"/>
        <w:spacing w:after="210" w:line="240" w:lineRule="auto"/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  <w:t xml:space="preserve">They focus on </w:t>
      </w:r>
      <w:r w:rsidR="00E478F8" w:rsidRPr="00E478F8"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  <w:t>analysing</w:t>
      </w:r>
      <w:r w:rsidRPr="00E478F8"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  <w:t xml:space="preserve"> the features’ input-output pair.</w:t>
      </w:r>
    </w:p>
    <w:p w14:paraId="091FA73F" w14:textId="77777777" w:rsidR="00DB362A" w:rsidRDefault="00DB362A" w:rsidP="009D3B3A">
      <w:pPr>
        <w:spacing w:line="360" w:lineRule="auto"/>
        <w:jc w:val="both"/>
        <w:rPr>
          <w:rFonts w:ascii="Times New Roman" w:hAnsi="Times New Roman" w:cs="Times New Roman"/>
        </w:rPr>
      </w:pPr>
    </w:p>
    <w:p w14:paraId="1A543DA3" w14:textId="77777777" w:rsidR="00DB362A" w:rsidRPr="00E478F8" w:rsidRDefault="00DB362A" w:rsidP="00E478F8">
      <w:pPr>
        <w:shd w:val="clear" w:color="auto" w:fill="FFFFFF"/>
        <w:spacing w:before="120" w:after="24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  <w:t>SHAP</w:t>
      </w:r>
    </w:p>
    <w:p w14:paraId="22FB93C7" w14:textId="77777777" w:rsidR="009F58EF" w:rsidRDefault="00DB362A" w:rsidP="009F58EF">
      <w:pPr>
        <w:pStyle w:val="ListParagraph"/>
        <w:numPr>
          <w:ilvl w:val="0"/>
          <w:numId w:val="4"/>
        </w:num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It stands for </w:t>
      </w:r>
      <w:r w:rsidRPr="009F58EF"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  <w:t>SH</w:t>
      </w: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apley </w:t>
      </w:r>
      <w:r w:rsidRPr="009F58EF"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  <w:t>A</w:t>
      </w: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dditive ex</w:t>
      </w:r>
      <w:r w:rsidRPr="009F58EF"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  <w:t>P</w:t>
      </w: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 xml:space="preserve">lanations. </w:t>
      </w:r>
    </w:p>
    <w:p w14:paraId="647E3859" w14:textId="77777777" w:rsidR="009F58EF" w:rsidRPr="009F58EF" w:rsidRDefault="009F58EF" w:rsidP="009F58EF">
      <w:pPr>
        <w:pStyle w:val="ListParagraph"/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</w:p>
    <w:p w14:paraId="2C80FBCB" w14:textId="788DFB15" w:rsidR="009F58EF" w:rsidRPr="009F58EF" w:rsidRDefault="00DB362A" w:rsidP="009F58EF">
      <w:pPr>
        <w:pStyle w:val="ListParagraph"/>
        <w:numPr>
          <w:ilvl w:val="0"/>
          <w:numId w:val="4"/>
        </w:num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This method aims to explain the prediction of an instance/observation by computing the contribution of each feature to the prediction.</w:t>
      </w:r>
    </w:p>
    <w:p w14:paraId="0CFD7427" w14:textId="116E6AF3" w:rsidR="00DB362A" w:rsidRPr="009F58EF" w:rsidRDefault="00DB362A" w:rsidP="009F58EF">
      <w:pPr>
        <w:pStyle w:val="ListParagraph"/>
        <w:numPr>
          <w:ilvl w:val="0"/>
          <w:numId w:val="4"/>
        </w:numPr>
        <w:shd w:val="clear" w:color="auto" w:fill="FFFFFF"/>
        <w:spacing w:after="210" w:line="240" w:lineRule="auto"/>
        <w:jc w:val="both"/>
        <w:rPr>
          <w:rFonts w:ascii="Times New Roman" w:hAnsi="Times New Roman" w:cs="Times New Roman"/>
          <w:color w:val="05192D"/>
          <w:sz w:val="32"/>
          <w:szCs w:val="32"/>
          <w:shd w:val="clear" w:color="auto" w:fill="FFFFFF"/>
        </w:rPr>
      </w:pPr>
      <w:r w:rsidRPr="009F58EF">
        <w:rPr>
          <w:rFonts w:ascii="Times New Roman" w:hAnsi="Times New Roman" w:cs="Times New Roman"/>
          <w:color w:val="05192D"/>
          <w:sz w:val="32"/>
          <w:szCs w:val="32"/>
          <w:shd w:val="clear" w:color="auto" w:fill="FFFFFF"/>
        </w:rPr>
        <w:t>SHAP offers an array of visualization tools for enhancing model interpretability, and the next section will discuss two of them: (1) variable importance with the summary plot, (2) summary plot of a specific target, and (3) dependence plot.</w:t>
      </w:r>
    </w:p>
    <w:p w14:paraId="5A6E00FC" w14:textId="77777777" w:rsidR="005A5AC1" w:rsidRPr="00E478F8" w:rsidRDefault="005A5AC1" w:rsidP="00E478F8">
      <w:pPr>
        <w:shd w:val="clear" w:color="auto" w:fill="FFFFFF"/>
        <w:spacing w:before="120" w:after="24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</w:pPr>
      <w:r w:rsidRPr="00E478F8"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  <w:t>LIME</w:t>
      </w:r>
    </w:p>
    <w:p w14:paraId="6719AA72" w14:textId="77777777" w:rsidR="009F58EF" w:rsidRDefault="005A5AC1" w:rsidP="009F58EF">
      <w:pPr>
        <w:pStyle w:val="ListParagraph"/>
        <w:numPr>
          <w:ilvl w:val="0"/>
          <w:numId w:val="5"/>
        </w:num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 xml:space="preserve">Local Interpretable Model-agnostic Explanations (LIME). </w:t>
      </w:r>
    </w:p>
    <w:p w14:paraId="6F47BC56" w14:textId="77777777" w:rsidR="009F58EF" w:rsidRDefault="009F58EF" w:rsidP="009F58EF">
      <w:pPr>
        <w:pStyle w:val="ListParagraph"/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</w:p>
    <w:p w14:paraId="4928A7BA" w14:textId="444A07CA" w:rsidR="005A5AC1" w:rsidRDefault="005A5AC1" w:rsidP="009F58EF">
      <w:pPr>
        <w:pStyle w:val="ListParagraph"/>
        <w:numPr>
          <w:ilvl w:val="0"/>
          <w:numId w:val="5"/>
        </w:num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Instead of providing a global understanding of the model on the entire dataset, LIME focuses on explaining the model’s prediction for individual instances.</w:t>
      </w:r>
    </w:p>
    <w:p w14:paraId="1264056C" w14:textId="77777777" w:rsidR="00E478F8" w:rsidRPr="00E478F8" w:rsidRDefault="00E478F8" w:rsidP="00E478F8">
      <w:pPr>
        <w:shd w:val="clear" w:color="auto" w:fill="FFFFFF"/>
        <w:spacing w:before="240" w:after="24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5192D"/>
          <w:kern w:val="0"/>
          <w:sz w:val="32"/>
          <w:szCs w:val="32"/>
          <w:lang w:eastAsia="en-IN"/>
          <w14:ligatures w14:val="none"/>
        </w:rPr>
      </w:pPr>
    </w:p>
    <w:p w14:paraId="44DD9716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290D1C68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76C238C5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343354AD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44151496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27E84D56" w14:textId="77777777" w:rsidR="00E478F8" w:rsidRDefault="00E478F8" w:rsidP="00A261DF">
      <w:pPr>
        <w:shd w:val="clear" w:color="auto" w:fill="FFFFFF"/>
        <w:spacing w:before="240" w:after="240" w:line="240" w:lineRule="auto"/>
        <w:outlineLvl w:val="2"/>
        <w:rPr>
          <w:rFonts w:ascii="Studio-Feixen-Sans" w:eastAsia="Times New Roman" w:hAnsi="Studio-Feixen-Sans" w:cs="Times New Roman"/>
          <w:b/>
          <w:bCs/>
          <w:color w:val="05192D"/>
          <w:kern w:val="0"/>
          <w:sz w:val="27"/>
          <w:szCs w:val="27"/>
          <w:lang w:eastAsia="en-IN"/>
          <w14:ligatures w14:val="none"/>
        </w:rPr>
      </w:pPr>
    </w:p>
    <w:p w14:paraId="30E604B7" w14:textId="12FA149E" w:rsidR="00A261DF" w:rsidRPr="009F58EF" w:rsidRDefault="00A261DF" w:rsidP="00A261DF">
      <w:pPr>
        <w:shd w:val="clear" w:color="auto" w:fill="FFFFFF"/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:lang w:eastAsia="en-IN"/>
          <w14:ligatures w14:val="none"/>
        </w:rPr>
        <w:lastRenderedPageBreak/>
        <w:t>Model-specific methods</w:t>
      </w:r>
    </w:p>
    <w:p w14:paraId="19D56C80" w14:textId="77777777" w:rsidR="00EE3BA9" w:rsidRPr="009F58EF" w:rsidRDefault="00A261DF" w:rsidP="00E35FF1">
      <w:pPr>
        <w:pStyle w:val="ListParagraph"/>
        <w:numPr>
          <w:ilvl w:val="0"/>
          <w:numId w:val="6"/>
        </w:numPr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 xml:space="preserve">As opposed to model-agnostic methods, these methods can only be applied to a limited category of models. </w:t>
      </w:r>
    </w:p>
    <w:p w14:paraId="54AA970D" w14:textId="77777777" w:rsidR="009F58EF" w:rsidRDefault="009F58EF" w:rsidP="00E35FF1">
      <w:pPr>
        <w:pStyle w:val="ListParagraph"/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</w:p>
    <w:p w14:paraId="224945A7" w14:textId="15FE37AD" w:rsidR="00EE3BA9" w:rsidRPr="009F58EF" w:rsidRDefault="00A261DF" w:rsidP="00E35FF1">
      <w:pPr>
        <w:pStyle w:val="ListParagraph"/>
        <w:numPr>
          <w:ilvl w:val="0"/>
          <w:numId w:val="6"/>
        </w:numPr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 xml:space="preserve">Some of those models include linear regression, decision trees, and neural network interpretability. </w:t>
      </w:r>
    </w:p>
    <w:p w14:paraId="38B43446" w14:textId="77777777" w:rsidR="009F58EF" w:rsidRDefault="009F58EF" w:rsidP="00E35FF1">
      <w:pPr>
        <w:pStyle w:val="ListParagraph"/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</w:p>
    <w:p w14:paraId="22E861C4" w14:textId="2F71B832" w:rsidR="00A261DF" w:rsidRPr="009F58EF" w:rsidRDefault="00A261DF" w:rsidP="00E35FF1">
      <w:pPr>
        <w:pStyle w:val="ListParagraph"/>
        <w:numPr>
          <w:ilvl w:val="0"/>
          <w:numId w:val="6"/>
        </w:numPr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</w:pPr>
      <w:r w:rsidRPr="009F58EF">
        <w:rPr>
          <w:rFonts w:ascii="Times New Roman" w:eastAsia="Times New Roman" w:hAnsi="Times New Roman" w:cs="Times New Roman"/>
          <w:color w:val="05192D"/>
          <w:kern w:val="0"/>
          <w:sz w:val="32"/>
          <w:szCs w:val="32"/>
          <w:lang w:eastAsia="en-IN"/>
          <w14:ligatures w14:val="none"/>
        </w:rPr>
        <w:t>When using a decision-tree model, a graphical tree can be generated with the plot_tree function from scikit-learn to explain the decision-making process of the model from top-to-bottom</w:t>
      </w:r>
    </w:p>
    <w:p w14:paraId="33236615" w14:textId="030F8912" w:rsidR="00DB362A" w:rsidRPr="009F58EF" w:rsidRDefault="009B0EBC" w:rsidP="00E35FF1">
      <w:pPr>
        <w:shd w:val="clear" w:color="auto" w:fill="FFFFFF"/>
        <w:spacing w:after="210" w:line="360" w:lineRule="auto"/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</w:pPr>
      <w:r w:rsidRPr="009B0EBC">
        <w:rPr>
          <w:rFonts w:ascii="Times New Roman" w:eastAsia="Times New Roman" w:hAnsi="Times New Roman" w:cs="Times New Roman"/>
          <w:color w:val="05192D"/>
          <w:kern w:val="0"/>
          <w:sz w:val="40"/>
          <w:szCs w:val="40"/>
          <w:lang w:eastAsia="en-IN"/>
          <w14:ligatures w14:val="none"/>
        </w:rPr>
        <w:drawing>
          <wp:inline distT="0" distB="0" distL="0" distR="0" wp14:anchorId="060A18D0" wp14:editId="6EC37208">
            <wp:extent cx="5731510" cy="2058670"/>
            <wp:effectExtent l="0" t="0" r="2540" b="0"/>
            <wp:docPr id="18682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9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62A" w:rsidRPr="009F5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udio-Feixen-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418D9"/>
    <w:multiLevelType w:val="hybridMultilevel"/>
    <w:tmpl w:val="AA4CD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338B0"/>
    <w:multiLevelType w:val="hybridMultilevel"/>
    <w:tmpl w:val="882A4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C4E80"/>
    <w:multiLevelType w:val="hybridMultilevel"/>
    <w:tmpl w:val="3240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53AAC"/>
    <w:multiLevelType w:val="hybridMultilevel"/>
    <w:tmpl w:val="1E620B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68602F"/>
    <w:multiLevelType w:val="multilevel"/>
    <w:tmpl w:val="7DF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5A295E"/>
    <w:multiLevelType w:val="hybridMultilevel"/>
    <w:tmpl w:val="FF68D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28273">
    <w:abstractNumId w:val="4"/>
  </w:num>
  <w:num w:numId="2" w16cid:durableId="443113156">
    <w:abstractNumId w:val="1"/>
  </w:num>
  <w:num w:numId="3" w16cid:durableId="39862798">
    <w:abstractNumId w:val="3"/>
  </w:num>
  <w:num w:numId="4" w16cid:durableId="180704234">
    <w:abstractNumId w:val="5"/>
  </w:num>
  <w:num w:numId="5" w16cid:durableId="160198698">
    <w:abstractNumId w:val="2"/>
  </w:num>
  <w:num w:numId="6" w16cid:durableId="151954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3A"/>
    <w:rsid w:val="000403B5"/>
    <w:rsid w:val="002B5C2F"/>
    <w:rsid w:val="005A5AC1"/>
    <w:rsid w:val="007C7CE6"/>
    <w:rsid w:val="009B0EBC"/>
    <w:rsid w:val="009D3B3A"/>
    <w:rsid w:val="009F58EF"/>
    <w:rsid w:val="00A261DF"/>
    <w:rsid w:val="00B454BE"/>
    <w:rsid w:val="00D2216F"/>
    <w:rsid w:val="00DB362A"/>
    <w:rsid w:val="00DD0A62"/>
    <w:rsid w:val="00E35FF1"/>
    <w:rsid w:val="00E478F8"/>
    <w:rsid w:val="00E47C02"/>
    <w:rsid w:val="00EE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BD13"/>
  <w15:chartTrackingRefBased/>
  <w15:docId w15:val="{1F0C8ED9-8B31-4946-BFB8-CE3F0229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3A"/>
    <w:rPr>
      <w:b/>
      <w:bCs/>
      <w:smallCaps/>
      <w:color w:val="0F4761" w:themeColor="accent1" w:themeShade="BF"/>
      <w:spacing w:val="5"/>
    </w:rPr>
  </w:style>
  <w:style w:type="paragraph" w:customStyle="1" w:styleId="p-margin">
    <w:name w:val="p-margin"/>
    <w:basedOn w:val="Normal"/>
    <w:rsid w:val="009D3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3B3A"/>
    <w:rPr>
      <w:b/>
      <w:bCs/>
    </w:rPr>
  </w:style>
  <w:style w:type="character" w:styleId="Hyperlink">
    <w:name w:val="Hyperlink"/>
    <w:basedOn w:val="DefaultParagraphFont"/>
    <w:uiPriority w:val="99"/>
    <w:unhideWhenUsed/>
    <w:rsid w:val="00E47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 Raju</cp:lastModifiedBy>
  <cp:revision>10</cp:revision>
  <dcterms:created xsi:type="dcterms:W3CDTF">2024-07-11T08:46:00Z</dcterms:created>
  <dcterms:modified xsi:type="dcterms:W3CDTF">2024-11-25T06:51:00Z</dcterms:modified>
</cp:coreProperties>
</file>