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B14F" w14:textId="41FFD52F" w:rsidR="008066C1" w:rsidRDefault="00CF0897">
      <w:pPr>
        <w:spacing w:after="80"/>
        <w:jc w:val="center"/>
      </w:pPr>
      <w:proofErr w:type="spellStart"/>
      <w:r>
        <w:rPr>
          <w:b/>
          <w:color w:val="1B365D"/>
          <w:sz w:val="36"/>
        </w:rPr>
        <w:t>TargetPath</w:t>
      </w:r>
      <w:proofErr w:type="spellEnd"/>
      <w:r>
        <w:rPr>
          <w:b/>
          <w:color w:val="1B365D"/>
          <w:sz w:val="36"/>
        </w:rPr>
        <w:t xml:space="preserve"> AI-Enabled Account Scoring Workflow</w:t>
      </w:r>
      <w:r>
        <w:rPr>
          <w:b/>
          <w:color w:val="1B365D"/>
          <w:sz w:val="36"/>
        </w:rPr>
        <w:br/>
        <w:t>Process Map</w:t>
      </w:r>
    </w:p>
    <w:p w14:paraId="39F6F9A5" w14:textId="77777777" w:rsidR="008066C1" w:rsidRDefault="00CF0897">
      <w:pPr>
        <w:spacing w:after="480"/>
        <w:jc w:val="center"/>
      </w:pPr>
      <w:r>
        <w:rPr>
          <w:i/>
          <w:color w:val="D4A017"/>
        </w:rPr>
        <w:t>Team Gamma | Auburn University MBA Capstone Project | September 2026</w:t>
      </w:r>
    </w:p>
    <w:p w14:paraId="52D3EF87" w14:textId="32CCE6C3" w:rsidR="008066C1" w:rsidRDefault="00CF0897">
      <w:pPr>
        <w:spacing w:before="240" w:after="160"/>
      </w:pPr>
      <w:r>
        <w:rPr>
          <w:b/>
          <w:color w:val="1B365D"/>
          <w:sz w:val="28"/>
        </w:rPr>
        <w:t>Visual Process Flow Diagram Overview</w:t>
      </w:r>
    </w:p>
    <w:p w14:paraId="48217E1A" w14:textId="77777777" w:rsidR="003E68C5" w:rsidRDefault="00CF0897">
      <w:pPr>
        <w:spacing w:after="240"/>
        <w:sectPr w:rsidR="003E68C5" w:rsidSect="003E68C5">
          <w:pgSz w:w="12240" w:h="15840"/>
          <w:pgMar w:top="1440" w:right="1440" w:bottom="1440" w:left="1440" w:header="720" w:footer="720" w:gutter="0"/>
          <w:cols w:space="720"/>
          <w:docGrid w:linePitch="360"/>
        </w:sectPr>
      </w:pPr>
      <w:r>
        <w:t xml:space="preserve">The following text-based flowchart illustrates the end-to-end operational sequence for </w:t>
      </w:r>
      <w:proofErr w:type="spellStart"/>
      <w:r>
        <w:t>TargetOrate's</w:t>
      </w:r>
      <w:proofErr w:type="spellEnd"/>
      <w:r>
        <w:t xml:space="preserve"> AI-enabled account scoring workflow. It integrates automated AI data processing with structured human validation gates to ensure enterprise-grade accuracy and auditability.</w:t>
      </w:r>
    </w:p>
    <w:p w14:paraId="336CE2B1" w14:textId="7CC042A8" w:rsidR="008066C1" w:rsidRDefault="003E68C5" w:rsidP="003E68C5">
      <w:pPr>
        <w:spacing w:after="240"/>
      </w:pPr>
      <w:r>
        <w:rPr>
          <w:noProof/>
        </w:rPr>
        <w:drawing>
          <wp:inline distT="0" distB="0" distL="0" distR="0" wp14:anchorId="4EDAD465" wp14:editId="7F71932E">
            <wp:extent cx="3067050" cy="5886450"/>
            <wp:effectExtent l="0" t="0" r="0" b="0"/>
            <wp:docPr id="9249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9074" cy="5909527"/>
                    </a:xfrm>
                    <a:prstGeom prst="rect">
                      <a:avLst/>
                    </a:prstGeom>
                    <a:noFill/>
                  </pic:spPr>
                </pic:pic>
              </a:graphicData>
            </a:graphic>
          </wp:inline>
        </w:drawing>
      </w:r>
    </w:p>
    <w:p w14:paraId="73416FB9" w14:textId="77777777" w:rsidR="008066C1" w:rsidRDefault="00CF0897">
      <w:pPr>
        <w:spacing w:before="160" w:after="40"/>
      </w:pPr>
      <w:r>
        <w:rPr>
          <w:b/>
          <w:color w:val="1B365D"/>
        </w:rPr>
        <w:t>Step 1: Account &amp; ICP Data Provided (Step 0 Gating)</w:t>
      </w:r>
    </w:p>
    <w:p w14:paraId="3067FABA" w14:textId="77777777" w:rsidR="008066C1" w:rsidRPr="003E68C5" w:rsidRDefault="00CF0897">
      <w:pPr>
        <w:spacing w:after="80"/>
        <w:ind w:left="288"/>
        <w:rPr>
          <w:sz w:val="20"/>
          <w:szCs w:val="20"/>
        </w:rPr>
      </w:pPr>
      <w:r w:rsidRPr="003E68C5">
        <w:rPr>
          <w:b/>
          <w:color w:val="D4A017"/>
          <w:sz w:val="18"/>
          <w:szCs w:val="20"/>
        </w:rPr>
        <w:t xml:space="preserve">Actor / Owner: </w:t>
      </w:r>
      <w:r w:rsidRPr="003E68C5">
        <w:rPr>
          <w:sz w:val="18"/>
          <w:szCs w:val="20"/>
        </w:rPr>
        <w:t>Human Consultant / Data Ingest Layer</w:t>
      </w:r>
    </w:p>
    <w:p w14:paraId="200A886A" w14:textId="77777777" w:rsidR="008066C1" w:rsidRPr="003E68C5" w:rsidRDefault="00CF0897">
      <w:pPr>
        <w:spacing w:after="160"/>
        <w:ind w:left="288"/>
        <w:rPr>
          <w:sz w:val="20"/>
          <w:szCs w:val="20"/>
        </w:rPr>
      </w:pPr>
      <w:r w:rsidRPr="003E68C5">
        <w:rPr>
          <w:sz w:val="20"/>
          <w:szCs w:val="20"/>
        </w:rPr>
        <w:t>The process initiates when raw company records, firmographics, CRM exports, and third-party intent signals are ingested into the secure AI environment. Concurrently, accounts are checked against the qualitative Ideal Customer Profile (ICP) criteria to ensure basic eligibility (industry match, revenue range, geography) before heavy scoring begins, preventing wasted analytical cycles on bad-fit accounts.</w:t>
      </w:r>
    </w:p>
    <w:p w14:paraId="4F2011FD" w14:textId="77777777" w:rsidR="008066C1" w:rsidRDefault="00CF0897">
      <w:pPr>
        <w:spacing w:before="160" w:after="40"/>
      </w:pPr>
      <w:r>
        <w:rPr>
          <w:b/>
          <w:color w:val="1B365D"/>
        </w:rPr>
        <w:t>Step 2: AI Validates Data Completeness &amp; Integrity</w:t>
      </w:r>
    </w:p>
    <w:p w14:paraId="1C5EFBB1" w14:textId="77777777" w:rsidR="008066C1" w:rsidRDefault="00CF0897">
      <w:pPr>
        <w:spacing w:after="80"/>
        <w:ind w:left="288"/>
      </w:pPr>
      <w:r>
        <w:rPr>
          <w:b/>
          <w:color w:val="D4A017"/>
          <w:sz w:val="20"/>
        </w:rPr>
        <w:t xml:space="preserve">Actor / Owner: </w:t>
      </w:r>
      <w:r>
        <w:rPr>
          <w:sz w:val="20"/>
        </w:rPr>
        <w:t>AI Engine (Claude / ChatGPT)</w:t>
      </w:r>
    </w:p>
    <w:p w14:paraId="02EA748B" w14:textId="77777777" w:rsidR="008066C1" w:rsidRDefault="00CF0897">
      <w:pPr>
        <w:spacing w:after="160"/>
        <w:ind w:left="288"/>
      </w:pPr>
      <w:r>
        <w:rPr>
          <w:sz w:val="21"/>
        </w:rPr>
        <w:t>The LLM scans the ingested datasets to normalize account records, check for missing fields, and flag potential data gaps or inconsistencies across firmographic, technographic, and intent sources. This ensures the foundational data is robust enough for quantitative scoring.</w:t>
      </w:r>
    </w:p>
    <w:p w14:paraId="7785B7A8" w14:textId="77777777" w:rsidR="008066C1" w:rsidRDefault="00CF0897">
      <w:pPr>
        <w:spacing w:before="160" w:after="40"/>
      </w:pPr>
      <w:r>
        <w:rPr>
          <w:b/>
          <w:color w:val="1B365D"/>
        </w:rPr>
        <w:t>Step 3: AI Scores Fit, Intent, Opportunity &amp; Relationship (FIOR)</w:t>
      </w:r>
    </w:p>
    <w:p w14:paraId="5FE3ACF4" w14:textId="77777777" w:rsidR="008066C1" w:rsidRDefault="00CF0897">
      <w:pPr>
        <w:spacing w:after="80"/>
        <w:ind w:left="288"/>
      </w:pPr>
      <w:r>
        <w:rPr>
          <w:b/>
          <w:color w:val="D4A017"/>
          <w:sz w:val="20"/>
        </w:rPr>
        <w:t xml:space="preserve">Actor / Owner: </w:t>
      </w:r>
      <w:r>
        <w:rPr>
          <w:sz w:val="20"/>
        </w:rPr>
        <w:t>AI Engine (Claude / ChatGPT)</w:t>
      </w:r>
    </w:p>
    <w:p w14:paraId="3C6F0666" w14:textId="77777777" w:rsidR="008066C1" w:rsidRDefault="00CF0897">
      <w:pPr>
        <w:spacing w:after="160"/>
        <w:ind w:left="288"/>
      </w:pPr>
      <w:r>
        <w:rPr>
          <w:sz w:val="21"/>
        </w:rPr>
        <w:t xml:space="preserve">Utilizing </w:t>
      </w:r>
      <w:proofErr w:type="spellStart"/>
      <w:r>
        <w:rPr>
          <w:sz w:val="21"/>
        </w:rPr>
        <w:t>TargetOrate's</w:t>
      </w:r>
      <w:proofErr w:type="spellEnd"/>
      <w:r>
        <w:rPr>
          <w:sz w:val="21"/>
        </w:rPr>
        <w:t xml:space="preserve"> FIOR framework, the AI evaluates and scores the account across all four weighted dimensions—Fit (35%), Intent (25%), Opportunity (30%), and Relationship (10%)—using structured 1-10 criteria and sub-scores grounded in historical data and research.</w:t>
      </w:r>
    </w:p>
    <w:p w14:paraId="0A555744" w14:textId="77777777" w:rsidR="008066C1" w:rsidRDefault="00CF0897">
      <w:pPr>
        <w:spacing w:before="160" w:after="40"/>
      </w:pPr>
      <w:r>
        <w:rPr>
          <w:b/>
          <w:color w:val="1B365D"/>
        </w:rPr>
        <w:t>Step 4: AI Calculates Composite Score &amp; Drafts Rationale</w:t>
      </w:r>
    </w:p>
    <w:p w14:paraId="070187E0" w14:textId="77777777" w:rsidR="008066C1" w:rsidRDefault="00CF0897">
      <w:pPr>
        <w:spacing w:after="80"/>
        <w:ind w:left="288"/>
      </w:pPr>
      <w:r>
        <w:rPr>
          <w:b/>
          <w:color w:val="D4A017"/>
          <w:sz w:val="20"/>
        </w:rPr>
        <w:t xml:space="preserve">Actor / Owner: </w:t>
      </w:r>
      <w:r>
        <w:rPr>
          <w:sz w:val="20"/>
        </w:rPr>
        <w:t>AI Engine (Claude / ChatGPT)</w:t>
      </w:r>
    </w:p>
    <w:p w14:paraId="60C64A61" w14:textId="77777777" w:rsidR="008066C1" w:rsidRDefault="00CF0897">
      <w:pPr>
        <w:spacing w:after="160"/>
        <w:ind w:left="288"/>
      </w:pPr>
      <w:r>
        <w:rPr>
          <w:sz w:val="21"/>
        </w:rPr>
        <w:t>The AI aggregates the weighted sub-scores into a final composite score (0-100), maps the account to its preliminary ABM Tier (Tier 1: 80-100, Tier 2: 60-79, Tier 3: 40-59, Nurture: &lt;40), and drafts structured justification notes detailing key strengths, gaps, and recommended next actions.</w:t>
      </w:r>
    </w:p>
    <w:p w14:paraId="3220594F" w14:textId="77777777" w:rsidR="008066C1" w:rsidRDefault="00CF0897">
      <w:pPr>
        <w:spacing w:before="160" w:after="40"/>
      </w:pPr>
      <w:r>
        <w:rPr>
          <w:b/>
          <w:color w:val="1B365D"/>
        </w:rPr>
        <w:t>Step 5: Decision Gate (Data Anomalies &amp; Strategic Outliers)</w:t>
      </w:r>
    </w:p>
    <w:p w14:paraId="1E0EFF06" w14:textId="77777777" w:rsidR="008066C1" w:rsidRDefault="00CF0897">
      <w:pPr>
        <w:spacing w:after="80"/>
        <w:ind w:left="288"/>
      </w:pPr>
      <w:r>
        <w:rPr>
          <w:b/>
          <w:color w:val="D4A017"/>
          <w:sz w:val="20"/>
        </w:rPr>
        <w:t xml:space="preserve">Actor / Owner: </w:t>
      </w:r>
      <w:r>
        <w:rPr>
          <w:sz w:val="20"/>
        </w:rPr>
        <w:t>Workflow Control Logic</w:t>
      </w:r>
    </w:p>
    <w:p w14:paraId="405A3C0E" w14:textId="77777777" w:rsidR="008066C1" w:rsidRDefault="00CF0897">
      <w:pPr>
        <w:spacing w:after="160"/>
        <w:ind w:left="288"/>
      </w:pPr>
      <w:r>
        <w:rPr>
          <w:sz w:val="21"/>
        </w:rPr>
        <w:t>A conditional quality control check evaluates AI output confidence and data flags. If data is missing, sparse, contradictory, or if an account represents a high-priority strategic override (e.g., existing executive relationships or brand value), it is systematically routed for mandatory human inspection.</w:t>
      </w:r>
    </w:p>
    <w:p w14:paraId="60BECBBC" w14:textId="77777777" w:rsidR="008066C1" w:rsidRDefault="00CF0897">
      <w:pPr>
        <w:spacing w:before="160" w:after="40"/>
      </w:pPr>
      <w:r>
        <w:rPr>
          <w:b/>
          <w:color w:val="1B365D"/>
        </w:rPr>
        <w:t xml:space="preserve">Step 6: </w:t>
      </w:r>
      <w:proofErr w:type="spellStart"/>
      <w:r>
        <w:rPr>
          <w:b/>
          <w:color w:val="1B365D"/>
        </w:rPr>
        <w:t>TargetOrate</w:t>
      </w:r>
      <w:proofErr w:type="spellEnd"/>
      <w:r>
        <w:rPr>
          <w:b/>
          <w:color w:val="1B365D"/>
        </w:rPr>
        <w:t xml:space="preserve"> Consultant Review &amp; Validation</w:t>
      </w:r>
    </w:p>
    <w:p w14:paraId="129AE5A8" w14:textId="77777777" w:rsidR="008066C1" w:rsidRDefault="00CF0897">
      <w:pPr>
        <w:spacing w:after="80"/>
        <w:ind w:left="288"/>
      </w:pPr>
      <w:r>
        <w:rPr>
          <w:b/>
          <w:color w:val="D4A017"/>
          <w:sz w:val="20"/>
        </w:rPr>
        <w:t xml:space="preserve">Actor / Owner: </w:t>
      </w:r>
      <w:r>
        <w:rPr>
          <w:sz w:val="20"/>
        </w:rPr>
        <w:t>Human Consultant &amp; Sales Leadership</w:t>
      </w:r>
    </w:p>
    <w:p w14:paraId="5B692942" w14:textId="77777777" w:rsidR="008066C1" w:rsidRDefault="00CF0897">
      <w:pPr>
        <w:spacing w:after="160"/>
        <w:ind w:left="288"/>
      </w:pPr>
      <w:r>
        <w:rPr>
          <w:sz w:val="21"/>
        </w:rPr>
        <w:t>Human-in-the-loop oversight takes place. Consultants review score reasonableness against market realities, validate data integrity, apply strategic overrides, and adjust scores if the AI misinterpreted external signals or market context. This gate protects against algorithmic drift and hallucinations.</w:t>
      </w:r>
    </w:p>
    <w:p w14:paraId="6C60B0E6" w14:textId="77777777" w:rsidR="008066C1" w:rsidRDefault="00CF0897">
      <w:pPr>
        <w:spacing w:before="160" w:after="40"/>
      </w:pPr>
      <w:r>
        <w:rPr>
          <w:b/>
          <w:color w:val="1B365D"/>
        </w:rPr>
        <w:t>Step 7: Weighted Master Account Spreadsheet &amp; Summary Card</w:t>
      </w:r>
    </w:p>
    <w:p w14:paraId="546F6549" w14:textId="77777777" w:rsidR="008066C1" w:rsidRDefault="00CF0897">
      <w:pPr>
        <w:spacing w:after="80"/>
        <w:ind w:left="288"/>
      </w:pPr>
      <w:r>
        <w:rPr>
          <w:b/>
          <w:color w:val="D4A017"/>
          <w:sz w:val="20"/>
        </w:rPr>
        <w:t xml:space="preserve">Actor / Owner: </w:t>
      </w:r>
      <w:r>
        <w:rPr>
          <w:sz w:val="20"/>
        </w:rPr>
        <w:t>Joint AI &amp; Human Hand-Off</w:t>
      </w:r>
    </w:p>
    <w:p w14:paraId="508D7391" w14:textId="77777777" w:rsidR="008066C1" w:rsidRDefault="00CF0897">
      <w:pPr>
        <w:spacing w:after="160"/>
        <w:ind w:left="288"/>
      </w:pPr>
      <w:r>
        <w:rPr>
          <w:sz w:val="21"/>
        </w:rPr>
        <w:t>The finalized, human-validated scores are locked into the Weighted Master Account Spreadsheet. The system outputs the official Account Summary Card and tier assignment, completing the Account Scoring workflow and establishing the controlling dataset for downstream Buying Committee Mapping (Step 2).</w:t>
      </w:r>
    </w:p>
    <w:sectPr w:rsidR="008066C1" w:rsidSect="003E68C5">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304195">
    <w:abstractNumId w:val="8"/>
  </w:num>
  <w:num w:numId="2" w16cid:durableId="37096414">
    <w:abstractNumId w:val="6"/>
  </w:num>
  <w:num w:numId="3" w16cid:durableId="1661956456">
    <w:abstractNumId w:val="5"/>
  </w:num>
  <w:num w:numId="4" w16cid:durableId="614747800">
    <w:abstractNumId w:val="4"/>
  </w:num>
  <w:num w:numId="5" w16cid:durableId="1635331886">
    <w:abstractNumId w:val="7"/>
  </w:num>
  <w:num w:numId="6" w16cid:durableId="1475903015">
    <w:abstractNumId w:val="3"/>
  </w:num>
  <w:num w:numId="7" w16cid:durableId="1477913067">
    <w:abstractNumId w:val="2"/>
  </w:num>
  <w:num w:numId="8" w16cid:durableId="1675915260">
    <w:abstractNumId w:val="1"/>
  </w:num>
  <w:num w:numId="9" w16cid:durableId="72799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ACB"/>
    <w:rsid w:val="0015074B"/>
    <w:rsid w:val="001E4660"/>
    <w:rsid w:val="0029639D"/>
    <w:rsid w:val="00326F90"/>
    <w:rsid w:val="003449CB"/>
    <w:rsid w:val="003D1DE7"/>
    <w:rsid w:val="003E68C5"/>
    <w:rsid w:val="004540ED"/>
    <w:rsid w:val="008066C1"/>
    <w:rsid w:val="00AA1D8D"/>
    <w:rsid w:val="00B47730"/>
    <w:rsid w:val="00CB0664"/>
    <w:rsid w:val="00CF0897"/>
    <w:rsid w:val="00DC2244"/>
    <w:rsid w:val="00F63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CC42A"/>
  <w14:defaultImageDpi w14:val="300"/>
  <w15:docId w15:val="{8F77EDCF-C6EB-4557-B4F5-6E975D3C7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492</Words>
  <Characters>2808</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Hine</cp:lastModifiedBy>
  <cp:revision>4</cp:revision>
  <dcterms:created xsi:type="dcterms:W3CDTF">2026-09-21T18:08:00Z</dcterms:created>
  <dcterms:modified xsi:type="dcterms:W3CDTF">2026-09-21T16:45:00Z</dcterms:modified>
  <cp:category/>
</cp:coreProperties>
</file>