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jc w:val="center"/>
      </w:pPr>
      <w:r>
        <w:rPr>
          <w:rFonts w:ascii="Times New Roman" w:hAnsi="Times New Roman"/>
          <w:b/>
          <w:sz w:val="26"/>
        </w:rPr>
        <w:t>BÁO CÁO PHẦN B.2.5, B.2.6, C1, C3 VÀ ECDSA MỞ RỘNG</w:t>
      </w:r>
    </w:p>
    <w:p>
      <w:pPr>
        <w:jc w:val="both"/>
      </w:pPr>
      <w:r>
        <w:t>Bài thực hành số 2 – Kênh liên lạc an toàn: trao đổi khóa Diffie–Hellman, chữ ký số và chứng thư (mini-PKI). Nội dung dưới đây tập trung vào phần được phân công: thỏa thuận khóa, mã hóa có xác thực, mô phỏng tấn công người ở giữa, kiểm tra mật mã và tự cài đặt ECDSA trên đường cong nhỏ.</w:t>
      </w:r>
    </w:p>
    <w:p>
      <w:pPr>
        <w:jc w:val="both"/>
      </w:pPr>
      <w:r>
        <w:t>Báo cáo được xây dựng trên yêu cầu của tài liệu “Đề bài thực hành số 2”, đối chiếu với mã nguồn nhóm tại https://github.com/hinn-no1/BaiTapLon2_MMH và gói tích hợp B.2.5–B.2.6. Các phép tính số nhỏ đã được kiểm chứng trực tiếp; những kết quả đo dùng thư viện khác được ghi rõ là tham khảo, không thay thế kết quả chạy PyCryptodome trên máy nhóm.</w:t>
      </w:r>
    </w:p>
    <w:p>
      <w:pPr>
        <w:pStyle w:val="Heading2"/>
      </w:pPr>
      <w:r>
        <w:rPr>
          <w:rFonts w:ascii="Times New Roman" w:hAnsi="Times New Roman"/>
          <w:b/>
          <w:sz w:val="26"/>
        </w:rPr>
        <w:t>B.2.5. Thỏa thuận khóa và mã hóa lai có xác thực</w:t>
      </w:r>
    </w:p>
    <w:p>
      <w:pPr>
        <w:jc w:val="both"/>
      </w:pPr>
      <w:r>
        <w:t>Mục tiêu của chức năng này là giúp Alice và Bob tạo được cùng một khóa phiên dù trao đổi dữ liệu thông qua máy chủ trung gian không đáng tin cậy. Quy trình gồm ba công đoạn liên tiếp: tính bí mật chung bằng DH hoặc ECDH, dẫn xuất khóa bằng HKDF-SHA256, rồi sử dụng khóa vừa có để mã hóa thông điệp bằng thuật toán AEAD. Phần thực hành cũng phải chứng minh rằng dữ liệu đã bị sửa sẽ không được chấp nhận khi giải mã.</w:t>
      </w:r>
    </w:p>
    <w:p>
      <w:pPr>
        <w:pStyle w:val="Heading2"/>
      </w:pPr>
      <w:r>
        <w:rPr>
          <w:rFonts w:ascii="Times New Roman" w:hAnsi="Times New Roman"/>
          <w:b/>
          <w:sz w:val="26"/>
        </w:rPr>
        <w:t>B.2.5.1. Kiểm chứng Diffie–Hellman trên nhóm số nhỏ</w:t>
      </w:r>
    </w:p>
    <w:p>
      <w:pPr>
        <w:jc w:val="both"/>
      </w:pPr>
      <w:r>
        <w:t>Theo bộ tham số cho trước, chọn số nguyên tố p = 23 và phần tử sinh g = 5. Alice giữ bí mật số mũ a = 6, còn Bob giữ bí mật b = 15. Alice tính giá trị công khai A = g^a mod p = 5^6 mod 23 = 8 và Bob tính B = g^b mod p = 5^15 mod 23 = 19. Hai giá trị A và B được gửi qua máy chủ trung gian, trong khi a và b không được truyền đi.</w:t>
      </w:r>
    </w:p>
    <w:p>
      <w:pPr>
        <w:jc w:val="both"/>
      </w:pPr>
      <w:r>
        <w:t>Khi nhận B, Alice tính K_A = B^a mod p = 19^6 mod 23 = 2. Ở chiều ngược lại, Bob tính K_B = A^b mod p = 8^15 mod 23 = 2. Kết quả K_A = K_B chứng minh cơ chế cùng tạo ra g^(ab) mod p mà không phải truyền trực tiếp bí mật đó. Trong tệp function/key_exchange.py, thao tác số học này sử dụng hàm pow(g, a, p) của Python như đề bài yêu cầu. Bộ p = 23 chỉ có ý nghĩa minh họa nên tuyệt đối không sử dụng để bảo vệ thông tin thực tế.</w:t>
      </w:r>
    </w:p>
    <w:p>
      <w:pPr>
        <w:pStyle w:val="Heading2"/>
      </w:pPr>
      <w:r>
        <w:rPr>
          <w:rFonts w:ascii="Times New Roman" w:hAnsi="Times New Roman"/>
          <w:b/>
          <w:sz w:val="26"/>
        </w:rPr>
        <w:t>B.2.5.2. Thỏa thuận khóa ECDH P-256 và HKDF-SHA256</w:t>
      </w:r>
    </w:p>
    <w:p>
      <w:pPr>
        <w:jc w:val="both"/>
      </w:pPr>
      <w:r>
        <w:t>Đối với chế độ có độ an toàn phù hợp hơn, chương trình tạo cặp khóa tạm thời trên đường cong NIST P-256 cho từng bên bằng PyCryptodome. Alice chọn khóa bí mật a và công bố điểm A = aG; Bob chọn khóa bí mật b và công bố B = bG, trong đó G là điểm sinh của đường cong. Sau khi trao đổi, Alice tính S_A = aB, còn Bob tính S_B = bA. Tính chất phép nhân vô hướng trên đường cong bảo đảm S_A = S_B = abG; cả hai do đó có cùng bí mật chung ECDH.</w:t>
      </w:r>
    </w:p>
    <w:p>
      <w:pPr>
        <w:jc w:val="both"/>
      </w:pPr>
      <w:r>
        <w:t>Bí mật ECDH thô không được sử dụng trực tiếp làm khóa mã hóa. Chương trình gọi HKDF-SHA256 với cùng bí mật chung, cùng salt ngẫu nhiên 32 byte và cùng chuỗi thông tin ngữ cảnh (context), tạo khóa phiên 32 byte, tương đương 256 bit. Giá trị salt không cần được giữ bí mật nhưng phải thống nhất giữa hai phía; context dùng để phân biệt mục đích hoặc phiên giao thức. Hàm ecdh_session_key thực hiện tính toán và dẫn xuất khóa, còn hàm exchange_ecdh kiểm tra khóa Alice/Bob bằng nhau và xuất SHA-256 của khóa phiên để trình diễn mà không công khai khóa thật.</w:t>
      </w:r>
    </w:p>
    <w:p>
      <w:pPr>
        <w:jc w:val="both"/>
      </w:pPr>
      <w:r>
        <w:t>Tính bảo mật về sau (forward secrecy) chỉ có thể đạt được khi các cặp khóa ECDH tạm thời được tạo độc lập từng phiên và khóa riêng tạm được hủy sau khi sử dụng. Trong mô phỏng, mỗi lần gọi tạo khóa mới; ứng dụng Flask đặt tất cả vai Alice, Bob và Eve trên cùng backend nên đây là minh họa thuật toán, không phải một hệ thống phân tán có ranh giới bảo mật giữa các thiết bị.</w:t>
      </w:r>
    </w:p>
    <w:p>
      <w:pPr>
        <w:pStyle w:val="Heading2"/>
      </w:pPr>
      <w:r>
        <w:rPr>
          <w:rFonts w:ascii="Times New Roman" w:hAnsi="Times New Roman"/>
          <w:b/>
          <w:sz w:val="26"/>
        </w:rPr>
        <w:t>B.2.5.3. Mã hóa AES-256-GCM và ChaCha20-Poly1305</w:t>
      </w:r>
    </w:p>
    <w:p>
      <w:pPr>
        <w:jc w:val="both"/>
      </w:pPr>
      <w:r>
        <w:t>Từ khóa phiên 256 bit, Alice mã hóa thông điệp bằng một trong hai thuật toán AES-256-GCM hoặc ChaCha20-Poly1305. Cả hai đều là mã hóa có xác thực (Authenticated Encryption with Associated Data – AEAD), nghĩa là đồng thời bảo vệ tính bí mật và tính toàn vẹn của nội dung. Mỗi lần mã hóa sinh nonce ngẫu nhiên 12 byte (96 bit) và tạo tag xác thực 16 byte (128 bit). Chương trình hỗ trợ chọn thuật toán trên giao diện mà không thay đổi các thành phần ECDH và HKDF.</w:t>
      </w:r>
    </w:p>
    <w:p>
      <w:pPr>
        <w:jc w:val="both"/>
      </w:pPr>
      <w:r>
        <w:t>Phần thông tin liên quan nhưng không cần che giấu được đưa vào AAD dưới dạng JSON chuẩn hóa. Với thông điệp đầu tiên do Alice gửi Bob, AAD có nội dung {"recipient":"Bob","sender":"Alice","sequence":1}. Các tên trường và giá trị được chuẩn hóa theo cùng thứ tự để hai phía xử lý thống nhất. Đầu ra một lần mã hóa gồm tên thuật toán, nonce, ciphertext, tag và AAD ở dạng hex; khi giải mã, Bob sử dụng đúng khóa phiên, nonce, AAD và tag tương ứng để kiểm tra trước khi nhận bản rõ.</w:t>
      </w:r>
    </w:p>
    <w:p>
      <w:pPr>
        <w:jc w:val="both"/>
      </w:pPr>
      <w:r>
        <w:t>Không được tái sử dụng cặp khóa và nonce của cùng thuật toán, kể cả khi nội dung tin khác nhau. Nonce ngẫu nhiên có nguy cơ trùng sau nhiều lần sử dụng; vì vậy trong phần mềm thực tế cần theo dõi giới hạn số bản tin hoặc dùng phương án cấp nonce duy nhất có kiểm soát. Chương trình minh họa tạo nonce mới cho từng bản tin và không sử dụng ECB theo ràng buộc đề bài.</w:t>
      </w:r>
    </w:p>
    <w:p>
      <w:pPr>
        <w:pStyle w:val="Heading2"/>
      </w:pPr>
      <w:r>
        <w:rPr>
          <w:rFonts w:ascii="Times New Roman" w:hAnsi="Times New Roman"/>
          <w:b/>
          <w:sz w:val="26"/>
        </w:rPr>
        <w:t>B.2.5.4. Kiểm tra tính toàn vẹn và xử lý lỗi</w:t>
      </w:r>
    </w:p>
    <w:p>
      <w:pPr>
        <w:jc w:val="both"/>
      </w:pPr>
      <w:r>
        <w:t>Để kiểm chứng cơ chế xác thực, chương trình mã hóa một thông điệp hợp lệ, sau đó tạo hai gói lỗi độc lập bằng cách đảo đúng một bit của ciphertext và một bit của AAD. Với gói nguyên vẹn, Bob thu được chính xác thông điệp đã gửi. Khi ciphertext hoặc AAD bị sửa nhưng tag giữ nguyên, quá trình xác minh phải thất bại và trả thông báo “thẻ xác thực không hợp lệ”. Tương tự, nếu thay trực tiếp tag thì không được xuất bản rõ. Hàm decrypt chỉ trả dữ liệu sau khi decrypt_and_verify hoàn tất nên không đưa ra bản rõ chưa được kiểm chứng.</w:t>
      </w:r>
    </w:p>
    <w:p>
      <w:pPr>
        <w:jc w:val="both"/>
      </w:pPr>
      <w:r>
        <w:t>Giao diện /api/aead cho phép nhập thông điệp từ 1 đến 200 ký tự và lựa chọn AES-256-GCM hoặc ChaCha20-Poly1305. Kết quả trả về gói mã hóa, bản rõ giải mã thành công và hai trạng thái từ chối sửa bit. Các trường hợp này được đưa vào tests_crypto.py, tuy nhiên kiểm thử tích hợp cần có thư viện PyCryptodome trên máy chạy thực tế.</w:t>
      </w:r>
    </w:p>
    <w:p>
      <w:pPr>
        <w:pStyle w:val="Heading2"/>
      </w:pPr>
      <w:r>
        <w:rPr>
          <w:rFonts w:ascii="Times New Roman" w:hAnsi="Times New Roman"/>
          <w:b/>
          <w:sz w:val="26"/>
        </w:rPr>
        <w:t>B.2.6. Mô phỏng tấn công người ở giữa và biện pháp phòng chống</w:t>
      </w:r>
    </w:p>
    <w:p>
      <w:pPr>
        <w:jc w:val="both"/>
      </w:pPr>
      <w:r>
        <w:t>Mô hình của đề bài giả định máy chủ trung gian do Eve kiểm soát có thể đọc, chặn, sửa và thay thế mọi gói tin. ECDH một mình chỉ cho phép hai phía tính cùng bí mật nếu họ thực sự nhận đúng khóa công khai của nhau; nó không xác minh danh tính chủ sở hữu của điểm công khai. Chương trình do đó triển khai hai chế độ để so sánh: DH/ECDH không xác thực và ECDH có chữ ký gắn với chứng thư do CA phát hành.</w:t>
      </w:r>
    </w:p>
    <w:p>
      <w:pPr>
        <w:pStyle w:val="Heading2"/>
      </w:pPr>
      <w:r>
        <w:rPr>
          <w:rFonts w:ascii="Times New Roman" w:hAnsi="Times New Roman"/>
          <w:b/>
          <w:sz w:val="26"/>
        </w:rPr>
        <w:t>B.2.6.1. Chế độ không xác thực: Eve đọc được thông điệp</w:t>
      </w:r>
    </w:p>
    <w:p>
      <w:pPr>
        <w:jc w:val="both"/>
      </w:pPr>
      <w:r>
        <w:t>Alice tạo điểm ECDH công khai A và gửi qua máy chủ. Eve giữ lại A, đồng thời gửi cho Bob một điểm E1 do Eve tạo thay vì A. Khi Bob gửi điểm B, Eve cũng giữ lại B và chuyển điểm E2 của mình cho Alice. Alice tưởng E2 là của Bob nên tính khóa K_AE với Eve; Bob tưởng E1 là của Alice nên tính khóa K_EB với Eve. Eve biết hai khóa riêng tương ứng và có thể tạo đúng hai khóa phiên. Hai khóa K_AE và K_EB độc lập, không cần và thông thường không bằng nhau.</w:t>
      </w:r>
    </w:p>
    <w:p>
      <w:pPr>
        <w:jc w:val="both"/>
      </w:pPr>
      <w:r>
        <w:t>Tấn công được kiểm tra bằng ví dụ số nhỏ có kết quả cố định để có thể đối chiếu bằng tay. Alice phát A = 8, Bob phát B = 19. Eve sử dụng số mũ e_B = 7 để tạo giá trị E_B = 5^7 mod 23 = 17 gửi Bob, và e_A = 11 để tạo E_A = 5^11 mod 23 = 22 gửi Alice. Alice tính 22^6 mod 23 = 1, trùng với 8^11 mod 23 = 1 mà Eve tính; Bob tính 17^15 mod 23 = 15, trùng với 19^7 mod 23 = 15 mà Eve tính. Như vậy K_AE = 1, K_EB = 15, cho thấy Alice và Bob không hề dùng một khóa chung của riêng họ.</w:t>
      </w:r>
    </w:p>
    <w:p>
      <w:pPr>
        <w:jc w:val="both"/>
      </w:pPr>
      <w:r>
        <w:t>Trong luồng ECDH P-256 tương ứng, Eve giải mã gói tin Alice gửi bằng khóa phiên Alice–Eve, đọc được nội dung, rồi mã hóa lại bằng khóa phiên Eve–Bob trước khi chuyển cho Bob. Do đó Bob vẫn có thể giải mã ra đúng thông điệp, khiến việc tấn công khó nhận ra nếu chỉ quan sát kết quả trao đổi. Log của /api/mitm được thiết kế để hiển thị dấu băm hai khóa phiên khác nhau cùng nội dung Eve đọc được.</w:t>
      </w:r>
    </w:p>
    <w:p>
      <w:pPr>
        <w:keepNext/>
        <w:spacing w:before="40"/>
        <w:jc w:val="left"/>
      </w:pPr>
      <w:r>
        <w:t>Bảng 1. Log số học minh họa tấn công MITM trên DH p = 23, g = 5.</w:t>
      </w:r>
    </w:p>
    <w:tbl>
      <w:tblPr>
        <w:tblStyle w:val="TableGrid"/>
        <w:tblW w:type="auto" w:w="0"/>
        <w:jc w:val="center"/>
        <w:tblLayout w:type="fixed"/>
        <w:tblLook w:firstColumn="1" w:firstRow="1" w:lastColumn="0" w:lastRow="0" w:noHBand="0" w:noVBand="1" w:val="04A0"/>
      </w:tblPr>
      <w:tblGrid>
        <w:gridCol w:w="2948"/>
        <w:gridCol w:w="6123"/>
      </w:tblGrid>
      <w:tr>
        <w:trPr>
          <w:cantSplit/>
        </w:trPr>
        <w:tc>
          <w:tcPr>
            <w:tcW w:type="dxa" w:w="4535"/>
            <w:shd w:fill="EDEDED"/>
            <w:vAlign w:val="center"/>
            <w:tcMar>
              <w:top w:w="80" w:type="dxa"/>
              <w:start w:w="90" w:type="dxa"/>
              <w:bottom w:w="80" w:type="dxa"/>
              <w:end w:w="90" w:type="dxa"/>
            </w:tcMar>
          </w:tcPr>
          <w:p>
            <w:pPr>
              <w:pStyle w:val="ReportTable"/>
              <w:jc w:val="left"/>
            </w:pPr>
            <w:r>
              <w:rPr>
                <w:rFonts w:ascii="Times New Roman" w:hAnsi="Times New Roman"/>
                <w:b/>
                <w:sz w:val="24"/>
              </w:rPr>
              <w:t>Sự kiện</w:t>
            </w:r>
          </w:p>
        </w:tc>
        <w:tc>
          <w:tcPr>
            <w:tcW w:type="dxa" w:w="4535"/>
            <w:shd w:fill="EDEDED"/>
            <w:vAlign w:val="center"/>
            <w:tcMar>
              <w:top w:w="80" w:type="dxa"/>
              <w:start w:w="90" w:type="dxa"/>
              <w:bottom w:w="80" w:type="dxa"/>
              <w:end w:w="90" w:type="dxa"/>
            </w:tcMar>
          </w:tcPr>
          <w:p>
            <w:pPr>
              <w:pStyle w:val="ReportTable"/>
              <w:jc w:val="left"/>
            </w:pPr>
            <w:r>
              <w:rPr>
                <w:rFonts w:ascii="Times New Roman" w:hAnsi="Times New Roman"/>
                <w:b/>
                <w:sz w:val="24"/>
              </w:rPr>
              <w:t>Giá trị / kết quả</w:t>
            </w:r>
          </w:p>
        </w:tc>
      </w:tr>
      <w:tr>
        <w:trPr>
          <w:cantSplit/>
        </w:trPr>
        <w:tc>
          <w:tcPr>
            <w:tcW w:type="dxa" w:w="2948"/>
            <w:vAlign w:val="center"/>
            <w:tcMar>
              <w:top w:w="80" w:type="dxa"/>
              <w:start w:w="90" w:type="dxa"/>
              <w:bottom w:w="80" w:type="dxa"/>
              <w:end w:w="90" w:type="dxa"/>
            </w:tcMar>
          </w:tcPr>
          <w:p>
            <w:pPr>
              <w:pStyle w:val="ReportTable"/>
              <w:jc w:val="left"/>
            </w:pPr>
            <w:r>
              <w:rPr>
                <w:rFonts w:ascii="Times New Roman" w:hAnsi="Times New Roman"/>
                <w:sz w:val="24"/>
              </w:rPr>
              <w:t>Giá trị Alice và Bob phát ra</w:t>
            </w:r>
          </w:p>
        </w:tc>
        <w:tc>
          <w:tcPr>
            <w:tcW w:type="dxa" w:w="6123"/>
            <w:vAlign w:val="center"/>
            <w:tcMar>
              <w:top w:w="80" w:type="dxa"/>
              <w:start w:w="90" w:type="dxa"/>
              <w:bottom w:w="80" w:type="dxa"/>
              <w:end w:w="90" w:type="dxa"/>
            </w:tcMar>
          </w:tcPr>
          <w:p>
            <w:pPr>
              <w:pStyle w:val="ReportTable"/>
              <w:jc w:val="left"/>
            </w:pPr>
            <w:r>
              <w:rPr>
                <w:rFonts w:ascii="Times New Roman" w:hAnsi="Times New Roman"/>
                <w:sz w:val="24"/>
              </w:rPr>
              <w:t>A = 8; B = 19</w:t>
            </w:r>
          </w:p>
        </w:tc>
      </w:tr>
      <w:tr>
        <w:trPr>
          <w:cantSplit/>
        </w:trPr>
        <w:tc>
          <w:tcPr>
            <w:tcW w:type="dxa" w:w="2948"/>
            <w:vAlign w:val="center"/>
            <w:tcMar>
              <w:top w:w="80" w:type="dxa"/>
              <w:start w:w="90" w:type="dxa"/>
              <w:bottom w:w="80" w:type="dxa"/>
              <w:end w:w="90" w:type="dxa"/>
            </w:tcMar>
          </w:tcPr>
          <w:p>
            <w:pPr>
              <w:pStyle w:val="ReportTable"/>
              <w:jc w:val="left"/>
            </w:pPr>
            <w:r>
              <w:rPr>
                <w:rFonts w:ascii="Times New Roman" w:hAnsi="Times New Roman"/>
                <w:sz w:val="24"/>
              </w:rPr>
              <w:t>Eve thay khóa công khai</w:t>
            </w:r>
          </w:p>
        </w:tc>
        <w:tc>
          <w:tcPr>
            <w:tcW w:type="dxa" w:w="6123"/>
            <w:vAlign w:val="center"/>
            <w:tcMar>
              <w:top w:w="80" w:type="dxa"/>
              <w:start w:w="90" w:type="dxa"/>
              <w:bottom w:w="80" w:type="dxa"/>
              <w:end w:w="90" w:type="dxa"/>
            </w:tcMar>
          </w:tcPr>
          <w:p>
            <w:pPr>
              <w:pStyle w:val="ReportTable"/>
              <w:jc w:val="left"/>
            </w:pPr>
            <w:r>
              <w:rPr>
                <w:rFonts w:ascii="Times New Roman" w:hAnsi="Times New Roman"/>
                <w:sz w:val="24"/>
              </w:rPr>
              <w:t>Gửi Bob: E_B = 17; gửi Alice: E_A = 22</w:t>
            </w:r>
          </w:p>
        </w:tc>
      </w:tr>
      <w:tr>
        <w:trPr>
          <w:cantSplit/>
        </w:trPr>
        <w:tc>
          <w:tcPr>
            <w:tcW w:type="dxa" w:w="2948"/>
            <w:vAlign w:val="center"/>
            <w:tcMar>
              <w:top w:w="80" w:type="dxa"/>
              <w:start w:w="90" w:type="dxa"/>
              <w:bottom w:w="80" w:type="dxa"/>
              <w:end w:w="90" w:type="dxa"/>
            </w:tcMar>
          </w:tcPr>
          <w:p>
            <w:pPr>
              <w:pStyle w:val="ReportTable"/>
              <w:jc w:val="left"/>
            </w:pPr>
            <w:r>
              <w:rPr>
                <w:rFonts w:ascii="Times New Roman" w:hAnsi="Times New Roman"/>
                <w:sz w:val="24"/>
              </w:rPr>
              <w:t>Khóa phiên Alice–Eve</w:t>
            </w:r>
          </w:p>
        </w:tc>
        <w:tc>
          <w:tcPr>
            <w:tcW w:type="dxa" w:w="6123"/>
            <w:vAlign w:val="center"/>
            <w:tcMar>
              <w:top w:w="80" w:type="dxa"/>
              <w:start w:w="90" w:type="dxa"/>
              <w:bottom w:w="80" w:type="dxa"/>
              <w:end w:w="90" w:type="dxa"/>
            </w:tcMar>
          </w:tcPr>
          <w:p>
            <w:pPr>
              <w:pStyle w:val="ReportTable"/>
              <w:jc w:val="left"/>
            </w:pPr>
            <w:r>
              <w:rPr>
                <w:rFonts w:ascii="Times New Roman" w:hAnsi="Times New Roman"/>
                <w:sz w:val="24"/>
              </w:rPr>
              <w:t>K_AE = 22^6 mod 23 = 8^11 mod 23 = 1</w:t>
            </w:r>
          </w:p>
        </w:tc>
      </w:tr>
      <w:tr>
        <w:trPr>
          <w:cantSplit/>
        </w:trPr>
        <w:tc>
          <w:tcPr>
            <w:tcW w:type="dxa" w:w="2948"/>
            <w:vAlign w:val="center"/>
            <w:tcMar>
              <w:top w:w="80" w:type="dxa"/>
              <w:start w:w="90" w:type="dxa"/>
              <w:bottom w:w="80" w:type="dxa"/>
              <w:end w:w="90" w:type="dxa"/>
            </w:tcMar>
          </w:tcPr>
          <w:p>
            <w:pPr>
              <w:pStyle w:val="ReportTable"/>
              <w:jc w:val="left"/>
            </w:pPr>
            <w:r>
              <w:rPr>
                <w:rFonts w:ascii="Times New Roman" w:hAnsi="Times New Roman"/>
                <w:sz w:val="24"/>
              </w:rPr>
              <w:t>Khóa phiên Eve–Bob</w:t>
            </w:r>
          </w:p>
        </w:tc>
        <w:tc>
          <w:tcPr>
            <w:tcW w:type="dxa" w:w="6123"/>
            <w:vAlign w:val="center"/>
            <w:tcMar>
              <w:top w:w="80" w:type="dxa"/>
              <w:start w:w="90" w:type="dxa"/>
              <w:bottom w:w="80" w:type="dxa"/>
              <w:end w:w="90" w:type="dxa"/>
            </w:tcMar>
          </w:tcPr>
          <w:p>
            <w:pPr>
              <w:pStyle w:val="ReportTable"/>
              <w:jc w:val="left"/>
            </w:pPr>
            <w:r>
              <w:rPr>
                <w:rFonts w:ascii="Times New Roman" w:hAnsi="Times New Roman"/>
                <w:sz w:val="24"/>
              </w:rPr>
              <w:t>K_EB = 17^15 mod 23 = 19^7 mod 23 = 15</w:t>
            </w:r>
          </w:p>
        </w:tc>
      </w:tr>
      <w:tr>
        <w:trPr>
          <w:cantSplit/>
        </w:trPr>
        <w:tc>
          <w:tcPr>
            <w:tcW w:type="dxa" w:w="2948"/>
            <w:vAlign w:val="center"/>
            <w:tcMar>
              <w:top w:w="80" w:type="dxa"/>
              <w:start w:w="90" w:type="dxa"/>
              <w:bottom w:w="80" w:type="dxa"/>
              <w:end w:w="90" w:type="dxa"/>
            </w:tcMar>
          </w:tcPr>
          <w:p>
            <w:pPr>
              <w:pStyle w:val="ReportTable"/>
              <w:jc w:val="left"/>
            </w:pPr>
            <w:r>
              <w:rPr>
                <w:rFonts w:ascii="Times New Roman" w:hAnsi="Times New Roman"/>
                <w:sz w:val="24"/>
              </w:rPr>
              <w:t>Kết luận</w:t>
            </w:r>
          </w:p>
        </w:tc>
        <w:tc>
          <w:tcPr>
            <w:tcW w:type="dxa" w:w="6123"/>
            <w:vAlign w:val="center"/>
            <w:tcMar>
              <w:top w:w="80" w:type="dxa"/>
              <w:start w:w="90" w:type="dxa"/>
              <w:bottom w:w="80" w:type="dxa"/>
              <w:end w:w="90" w:type="dxa"/>
            </w:tcMar>
          </w:tcPr>
          <w:p>
            <w:pPr>
              <w:pStyle w:val="ReportTable"/>
              <w:jc w:val="left"/>
            </w:pPr>
            <w:r>
              <w:rPr>
                <w:rFonts w:ascii="Times New Roman" w:hAnsi="Times New Roman"/>
                <w:sz w:val="24"/>
              </w:rPr>
              <w:t>K_AE khác K_EB; Eve có khả năng giải mã và mã hóa lại</w:t>
            </w:r>
          </w:p>
        </w:tc>
      </w:tr>
    </w:tbl>
    <w:p>
      <w:pPr>
        <w:pStyle w:val="Heading2"/>
      </w:pPr>
      <w:r>
        <w:rPr>
          <w:rFonts w:ascii="Times New Roman" w:hAnsi="Times New Roman"/>
          <w:b/>
          <w:sz w:val="26"/>
        </w:rPr>
        <w:t>B.2.6.2. Chế độ có chữ ký ECDSA và chứng thư JSON</w:t>
      </w:r>
    </w:p>
    <w:p>
      <w:pPr>
        <w:jc w:val="both"/>
      </w:pPr>
      <w:r>
        <w:t>Để gắn khóa ECDH tạm thời với danh tính, hệ thống sử dụng một CA mô phỏng có khóa ký ECDSA P-256. Khóa công khai CA được xem là tin cậy từ trước; CA tạo chứng thư JSON cho Alice, Bob và Eve. Một chứng thư gồm subject, public_key, not_before, not_after, serial, issuer và chữ ký CA trên nội dung JSON đã chuẩn hóa. Trước khi tin khóa công khai Alice, Bob xác minh chữ ký CA, thời hạn, tên chủ thể Alice và trạng thái thu hồi. Chữ ký chỉ có ý nghĩa xác thực khi khóa CA tin cậy không lấy một cách mù quáng từ dữ liệu do Eve gửi đến.</w:t>
      </w:r>
    </w:p>
    <w:p>
      <w:pPr>
        <w:jc w:val="both"/>
      </w:pPr>
      <w:r>
        <w:t>Alice ký một bản ghi gồm session_id, sender = Alice, recipient = Bob và ephemeral_public_key = A bằng khóa riêng dài hạn. Bob dùng khóa công khai trong chứng thư Alice để xác minh chữ ký trên toàn bộ bản ghi trước khi tính khóa ECDH. Nếu Eve thay A bằng điểm của mình nhưng giữ chữ ký cũ, dữ liệu được ký đã thay đổi và phép xác minh không hợp lệ. Nếu Eve tự ký điểm mới bằng khóa riêng của Eve và gửi chứng thư Eve hợp lệ, subject của chứng thư là Eve chứ không phải Alice nên Bob vẫn từ chối. Chữ ký giúp phát hiện thay đổi giá trị DH, còn chứng thư xác thực chủ sở hữu khóa ký.</w:t>
      </w:r>
    </w:p>
    <w:p>
      <w:pPr>
        <w:jc w:val="both"/>
      </w:pPr>
      <w:r>
        <w:t>Giao thức mô phỏng tiếp tục xác thực ngược khi Bob ký điểm B bằng khóa dài hạn của Bob và Alice kiểm tra chứng thư cùng chữ ký Bob. Sau khi xác thực thành công cả hai chiều, Alice và Bob dẫn xuất khóa phiên từ ECDH tạm thời với salt và context của phiên rồi trao đổi một bản tin AEAD. Trong tình huống bị Eve thay thế, chương trình ghi log “chữ ký không hợp lệ” hoặc “tên chủ thể không khớp” và kết luận MITM thất bại. Mô phỏng không triển khai giao thức TLS hoàn chỉnh, cơ chế chống phát lại toàn hệ thống hay kho lưu trữ khóa an toàn; các giới hạn đó không làm thay đổi mục tiêu minh họa được giao.</w:t>
      </w:r>
    </w:p>
    <w:p>
      <w:pPr>
        <w:pStyle w:val="Heading2"/>
      </w:pPr>
      <w:r>
        <w:rPr>
          <w:rFonts w:ascii="Times New Roman" w:hAnsi="Times New Roman"/>
          <w:b/>
          <w:sz w:val="26"/>
        </w:rPr>
        <w:t>B.2.6.3. Đối chiếu hai chế độ và kết quả cần quan sát</w:t>
      </w:r>
    </w:p>
    <w:p>
      <w:pPr>
        <w:jc w:val="both"/>
      </w:pPr>
      <w:r>
        <w:t>Ở chế độ không xác thực, điều kiện K_AE khác K_EB đồng thời Eve vẫn giải mã được thông điệp chứng minh tấn công người ở giữa thành công. Ngược lại, ở chế độ có xác thực, Eve không thể sử dụng điểm ECDH giả mạo với chữ ký Alice hợp lệ, và không thể thay danh tính Alice bằng chứng thư mang subject của Eve. Bản tin hợp pháp chỉ được chấp nhận sau khi chứng thư và chữ ký được kiểm tra trước bước tính khóa. Đây là khác biệt quan trọng nhất giữa tính bí mật của phép trao đổi khóa và tính xác thực của danh tính đối tác.</w:t>
      </w:r>
    </w:p>
    <w:p>
      <w:pPr>
        <w:pStyle w:val="Heading2"/>
      </w:pPr>
      <w:r>
        <w:rPr>
          <w:rFonts w:ascii="Times New Roman" w:hAnsi="Times New Roman"/>
          <w:b/>
          <w:sz w:val="26"/>
        </w:rPr>
        <w:t>B.2.7. Đo lường và so sánh hiệu năng mật mã</w:t>
      </w:r>
    </w:p>
    <w:p>
      <w:pPr>
        <w:pStyle w:val="Heading2"/>
      </w:pPr>
      <w:r>
        <w:rPr>
          <w:rFonts w:ascii="Times New Roman" w:hAnsi="Times New Roman"/>
          <w:b/>
          <w:sz w:val="26"/>
        </w:rPr>
        <w:t>B.2.7.1. Phương pháp đo và điều kiện thực nghiệm</w:t>
      </w:r>
    </w:p>
    <w:p>
      <w:pPr>
        <w:jc w:val="both"/>
      </w:pPr>
      <w:r>
        <w:t>Đề bài yêu cầu ít nhất 20 lần đo cho mỗi phép toán. Bộ đo benchmark_crypto.py sử dụng time.perf_counter_ns(), thực hiện sinh khóa, ký và kiểm tra chữ ký với RSA-2048, RSA-3072 và ECDSA P-256; so sánh sinh khóa và một lần thỏa thuận khóa ECDH P-256 với DH-2048 nhóm 14 theo RFC 3526; đồng thời đo mã hóa và giải mã cùng một thông điệp 1 MiB bằng AES-256-GCM và ChaCha20-Poly1305. Phần AEAD dùng khóa 32 byte, nonce mới ở mỗi lần mã hóa và cùng AAD. Chương trình tính số lần chạy, trung bình, trung vị, độ lệch chuẩn, min, max và xuất hai tệp benchmark_results.json, benchmark_results.csv.</w:t>
      </w:r>
    </w:p>
    <w:p>
      <w:pPr>
        <w:jc w:val="both"/>
      </w:pPr>
      <w:r>
        <w:t>Trong môi trường biên soạn tài liệu, Flask và PyCryptodome chưa có sẵn nên không thể thực hiện bộ đo chính thức bằng backend của dự án. Bảng 2 đến Bảng 4 dưới đây là số đo độc lập, thực sự chạy 20 lượt bằng thư viện cryptography trên Linux/Python 3.13.5, dùng để minh họa cách phân tích; kết quả của máy nhóm phải thay các bảng này sau khi cài PyCryptodome. Không được coi số đo của hai thư viện và hai cấu hình môi trường là tương đương tuyệt đối.</w:t>
      </w:r>
    </w:p>
    <w:p>
      <w:pPr>
        <w:keepNext/>
        <w:spacing w:before="40"/>
        <w:jc w:val="left"/>
      </w:pPr>
      <w:r>
        <w:t>Bảng 2. Đo tham khảo sinh khóa và thỏa thuận khóa, n = 20, đơn vị ms (backend: cryptography).</w:t>
      </w:r>
    </w:p>
    <w:tbl>
      <w:tblPr>
        <w:tblStyle w:val="TableGrid"/>
        <w:tblW w:type="auto" w:w="0"/>
        <w:jc w:val="center"/>
        <w:tblLayout w:type="fixed"/>
        <w:tblLook w:firstColumn="1" w:firstRow="1" w:lastColumn="0" w:lastRow="0" w:noHBand="0" w:noVBand="1" w:val="04A0"/>
      </w:tblPr>
      <w:tblGrid>
        <w:gridCol w:w="5102"/>
        <w:gridCol w:w="2041"/>
        <w:gridCol w:w="1928"/>
      </w:tblGrid>
      <w:tr>
        <w:trPr>
          <w:cantSplit/>
        </w:trPr>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Phép đo</w:t>
            </w:r>
          </w:p>
        </w:tc>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Trung bình (ms)</w:t>
            </w:r>
          </w:p>
        </w:tc>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Trung vị (ms)</w:t>
            </w:r>
          </w:p>
        </w:tc>
      </w:tr>
      <w:tr>
        <w:trPr>
          <w:cantSplit/>
        </w:trPr>
        <w:tc>
          <w:tcPr>
            <w:tcW w:type="dxa" w:w="5102"/>
            <w:vAlign w:val="center"/>
            <w:tcMar>
              <w:top w:w="80" w:type="dxa"/>
              <w:start w:w="90" w:type="dxa"/>
              <w:bottom w:w="80" w:type="dxa"/>
              <w:end w:w="90" w:type="dxa"/>
            </w:tcMar>
          </w:tcPr>
          <w:p>
            <w:pPr>
              <w:pStyle w:val="ReportTable"/>
              <w:jc w:val="left"/>
            </w:pPr>
            <w:r>
              <w:rPr>
                <w:rFonts w:ascii="Times New Roman" w:hAnsi="Times New Roman"/>
                <w:sz w:val="24"/>
              </w:rPr>
              <w:t>Sinh cặp khóa ECDH P-256</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0.01828</w:t>
            </w:r>
          </w:p>
        </w:tc>
        <w:tc>
          <w:tcPr>
            <w:tcW w:type="dxa" w:w="1928"/>
            <w:vAlign w:val="center"/>
            <w:tcMar>
              <w:top w:w="80" w:type="dxa"/>
              <w:start w:w="90" w:type="dxa"/>
              <w:bottom w:w="80" w:type="dxa"/>
              <w:end w:w="90" w:type="dxa"/>
            </w:tcMar>
          </w:tcPr>
          <w:p>
            <w:pPr>
              <w:pStyle w:val="ReportTable"/>
              <w:jc w:val="left"/>
            </w:pPr>
            <w:r>
              <w:rPr>
                <w:rFonts w:ascii="Times New Roman" w:hAnsi="Times New Roman"/>
                <w:sz w:val="24"/>
              </w:rPr>
              <w:t>0.01456</w:t>
            </w:r>
          </w:p>
        </w:tc>
      </w:tr>
      <w:tr>
        <w:trPr>
          <w:cantSplit/>
        </w:trPr>
        <w:tc>
          <w:tcPr>
            <w:tcW w:type="dxa" w:w="5102"/>
            <w:vAlign w:val="center"/>
            <w:tcMar>
              <w:top w:w="80" w:type="dxa"/>
              <w:start w:w="90" w:type="dxa"/>
              <w:bottom w:w="80" w:type="dxa"/>
              <w:end w:w="90" w:type="dxa"/>
            </w:tcMar>
          </w:tcPr>
          <w:p>
            <w:pPr>
              <w:pStyle w:val="ReportTable"/>
              <w:jc w:val="left"/>
            </w:pPr>
            <w:r>
              <w:rPr>
                <w:rFonts w:ascii="Times New Roman" w:hAnsi="Times New Roman"/>
                <w:sz w:val="24"/>
              </w:rPr>
              <w:t>Sinh cặp khóa DH-2048</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24.30396</w:t>
            </w:r>
          </w:p>
        </w:tc>
        <w:tc>
          <w:tcPr>
            <w:tcW w:type="dxa" w:w="1928"/>
            <w:vAlign w:val="center"/>
            <w:tcMar>
              <w:top w:w="80" w:type="dxa"/>
              <w:start w:w="90" w:type="dxa"/>
              <w:bottom w:w="80" w:type="dxa"/>
              <w:end w:w="90" w:type="dxa"/>
            </w:tcMar>
          </w:tcPr>
          <w:p>
            <w:pPr>
              <w:pStyle w:val="ReportTable"/>
              <w:jc w:val="left"/>
            </w:pPr>
            <w:r>
              <w:rPr>
                <w:rFonts w:ascii="Times New Roman" w:hAnsi="Times New Roman"/>
                <w:sz w:val="24"/>
              </w:rPr>
              <w:t>23.98128</w:t>
            </w:r>
          </w:p>
        </w:tc>
      </w:tr>
      <w:tr>
        <w:trPr>
          <w:cantSplit/>
        </w:trPr>
        <w:tc>
          <w:tcPr>
            <w:tcW w:type="dxa" w:w="5102"/>
            <w:vAlign w:val="center"/>
            <w:tcMar>
              <w:top w:w="80" w:type="dxa"/>
              <w:start w:w="90" w:type="dxa"/>
              <w:bottom w:w="80" w:type="dxa"/>
              <w:end w:w="90" w:type="dxa"/>
            </w:tcMar>
          </w:tcPr>
          <w:p>
            <w:pPr>
              <w:pStyle w:val="ReportTable"/>
              <w:jc w:val="left"/>
            </w:pPr>
            <w:r>
              <w:rPr>
                <w:rFonts w:ascii="Times New Roman" w:hAnsi="Times New Roman"/>
                <w:sz w:val="24"/>
              </w:rPr>
              <w:t>ECDH P-256 + HKDF, một phía</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0.08045</w:t>
            </w:r>
          </w:p>
        </w:tc>
        <w:tc>
          <w:tcPr>
            <w:tcW w:type="dxa" w:w="1928"/>
            <w:vAlign w:val="center"/>
            <w:tcMar>
              <w:top w:w="80" w:type="dxa"/>
              <w:start w:w="90" w:type="dxa"/>
              <w:bottom w:w="80" w:type="dxa"/>
              <w:end w:w="90" w:type="dxa"/>
            </w:tcMar>
          </w:tcPr>
          <w:p>
            <w:pPr>
              <w:pStyle w:val="ReportTable"/>
              <w:jc w:val="left"/>
            </w:pPr>
            <w:r>
              <w:rPr>
                <w:rFonts w:ascii="Times New Roman" w:hAnsi="Times New Roman"/>
                <w:sz w:val="24"/>
              </w:rPr>
              <w:t>0.06325</w:t>
            </w:r>
          </w:p>
        </w:tc>
      </w:tr>
      <w:tr>
        <w:trPr>
          <w:cantSplit/>
        </w:trPr>
        <w:tc>
          <w:tcPr>
            <w:tcW w:type="dxa" w:w="5102"/>
            <w:vAlign w:val="center"/>
            <w:tcMar>
              <w:top w:w="80" w:type="dxa"/>
              <w:start w:w="90" w:type="dxa"/>
              <w:bottom w:w="80" w:type="dxa"/>
              <w:end w:w="90" w:type="dxa"/>
            </w:tcMar>
          </w:tcPr>
          <w:p>
            <w:pPr>
              <w:pStyle w:val="ReportTable"/>
              <w:jc w:val="left"/>
            </w:pPr>
            <w:r>
              <w:rPr>
                <w:rFonts w:ascii="Times New Roman" w:hAnsi="Times New Roman"/>
                <w:sz w:val="24"/>
              </w:rPr>
              <w:t>DH-2048, một phía</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29.87556</w:t>
            </w:r>
          </w:p>
        </w:tc>
        <w:tc>
          <w:tcPr>
            <w:tcW w:type="dxa" w:w="1928"/>
            <w:vAlign w:val="center"/>
            <w:tcMar>
              <w:top w:w="80" w:type="dxa"/>
              <w:start w:w="90" w:type="dxa"/>
              <w:bottom w:w="80" w:type="dxa"/>
              <w:end w:w="90" w:type="dxa"/>
            </w:tcMar>
          </w:tcPr>
          <w:p>
            <w:pPr>
              <w:pStyle w:val="ReportTable"/>
              <w:jc w:val="left"/>
            </w:pPr>
            <w:r>
              <w:rPr>
                <w:rFonts w:ascii="Times New Roman" w:hAnsi="Times New Roman"/>
                <w:sz w:val="24"/>
              </w:rPr>
              <w:t>29.19739</w:t>
            </w:r>
          </w:p>
        </w:tc>
      </w:tr>
    </w:tbl>
    <w:p>
      <w:pPr>
        <w:keepNext/>
        <w:spacing w:before="40"/>
        <w:jc w:val="left"/>
      </w:pPr>
      <w:r>
        <w:t>Bảng 3. Đo tham khảo mã hóa và giải mã cùng thông điệp 1 MiB, n = 20, đơn vị ms (backend: cryptography).</w:t>
      </w:r>
    </w:p>
    <w:tbl>
      <w:tblPr>
        <w:tblStyle w:val="TableGrid"/>
        <w:tblW w:type="auto" w:w="0"/>
        <w:jc w:val="center"/>
        <w:tblLayout w:type="fixed"/>
        <w:tblLook w:firstColumn="1" w:firstRow="1" w:lastColumn="0" w:lastRow="0" w:noHBand="0" w:noVBand="1" w:val="04A0"/>
      </w:tblPr>
      <w:tblGrid>
        <w:gridCol w:w="4989"/>
        <w:gridCol w:w="2041"/>
        <w:gridCol w:w="2041"/>
      </w:tblGrid>
      <w:tr>
        <w:trPr>
          <w:cantSplit/>
        </w:trPr>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Thuật toán</w:t>
            </w:r>
          </w:p>
        </w:tc>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Mã hóa (ms)</w:t>
            </w:r>
          </w:p>
        </w:tc>
        <w:tc>
          <w:tcPr>
            <w:tcW w:type="dxa" w:w="3024"/>
            <w:shd w:fill="EDEDED"/>
            <w:vAlign w:val="center"/>
            <w:tcMar>
              <w:top w:w="80" w:type="dxa"/>
              <w:start w:w="90" w:type="dxa"/>
              <w:bottom w:w="80" w:type="dxa"/>
              <w:end w:w="90" w:type="dxa"/>
            </w:tcMar>
          </w:tcPr>
          <w:p>
            <w:pPr>
              <w:pStyle w:val="ReportTable"/>
              <w:jc w:val="left"/>
            </w:pPr>
            <w:r>
              <w:rPr>
                <w:rFonts w:ascii="Times New Roman" w:hAnsi="Times New Roman"/>
                <w:b/>
                <w:sz w:val="24"/>
              </w:rPr>
              <w:t>Giải mã (ms)</w:t>
            </w:r>
          </w:p>
        </w:tc>
      </w:tr>
      <w:tr>
        <w:trPr>
          <w:cantSplit/>
        </w:trPr>
        <w:tc>
          <w:tcPr>
            <w:tcW w:type="dxa" w:w="4989"/>
            <w:vAlign w:val="center"/>
            <w:tcMar>
              <w:top w:w="80" w:type="dxa"/>
              <w:start w:w="90" w:type="dxa"/>
              <w:bottom w:w="80" w:type="dxa"/>
              <w:end w:w="90" w:type="dxa"/>
            </w:tcMar>
          </w:tcPr>
          <w:p>
            <w:pPr>
              <w:pStyle w:val="ReportTable"/>
              <w:jc w:val="left"/>
            </w:pPr>
            <w:r>
              <w:rPr>
                <w:rFonts w:ascii="Times New Roman" w:hAnsi="Times New Roman"/>
                <w:sz w:val="24"/>
              </w:rPr>
              <w:t>AES-256-GCM</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0.54128</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0.33786</w:t>
            </w:r>
          </w:p>
        </w:tc>
      </w:tr>
      <w:tr>
        <w:trPr>
          <w:cantSplit/>
        </w:trPr>
        <w:tc>
          <w:tcPr>
            <w:tcW w:type="dxa" w:w="4989"/>
            <w:vAlign w:val="center"/>
            <w:tcMar>
              <w:top w:w="80" w:type="dxa"/>
              <w:start w:w="90" w:type="dxa"/>
              <w:bottom w:w="80" w:type="dxa"/>
              <w:end w:w="90" w:type="dxa"/>
            </w:tcMar>
          </w:tcPr>
          <w:p>
            <w:pPr>
              <w:pStyle w:val="ReportTable"/>
              <w:jc w:val="left"/>
            </w:pPr>
            <w:r>
              <w:rPr>
                <w:rFonts w:ascii="Times New Roman" w:hAnsi="Times New Roman"/>
                <w:sz w:val="24"/>
              </w:rPr>
              <w:t>ChaCha20-Poly1305</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0.46601</w:t>
            </w:r>
          </w:p>
        </w:tc>
        <w:tc>
          <w:tcPr>
            <w:tcW w:type="dxa" w:w="2041"/>
            <w:vAlign w:val="center"/>
            <w:tcMar>
              <w:top w:w="80" w:type="dxa"/>
              <w:start w:w="90" w:type="dxa"/>
              <w:bottom w:w="80" w:type="dxa"/>
              <w:end w:w="90" w:type="dxa"/>
            </w:tcMar>
          </w:tcPr>
          <w:p>
            <w:pPr>
              <w:pStyle w:val="ReportTable"/>
              <w:jc w:val="left"/>
            </w:pPr>
            <w:r>
              <w:rPr>
                <w:rFonts w:ascii="Times New Roman" w:hAnsi="Times New Roman"/>
                <w:sz w:val="24"/>
              </w:rPr>
              <w:t>0.48906</w:t>
            </w:r>
          </w:p>
        </w:tc>
      </w:tr>
    </w:tbl>
    <w:p>
      <w:pPr>
        <w:keepNext/>
        <w:spacing w:before="40"/>
        <w:jc w:val="left"/>
      </w:pPr>
      <w:r>
        <w:t>Bảng 4. Đo chữ ký tham khảo, n = 20, đơn vị ms (backend: cryptography; chữ ký ECDSA mã hóa DER).</w:t>
      </w:r>
    </w:p>
    <w:tbl>
      <w:tblPr>
        <w:tblStyle w:val="TableGrid"/>
        <w:tblW w:type="auto" w:w="0"/>
        <w:jc w:val="center"/>
        <w:tblLayout w:type="fixed"/>
        <w:tblLook w:firstColumn="1" w:firstRow="1" w:lastColumn="0" w:lastRow="0" w:noHBand="0" w:noVBand="1" w:val="04A0"/>
      </w:tblPr>
      <w:tblGrid>
        <w:gridCol w:w="2551"/>
        <w:gridCol w:w="1304"/>
        <w:gridCol w:w="1247"/>
        <w:gridCol w:w="1757"/>
        <w:gridCol w:w="2211"/>
      </w:tblGrid>
      <w:tr>
        <w:trPr>
          <w:cantSplit/>
        </w:trPr>
        <w:tc>
          <w:tcPr>
            <w:tcW w:type="dxa" w:w="1814"/>
            <w:shd w:fill="EDEDED"/>
            <w:vAlign w:val="center"/>
            <w:tcMar>
              <w:top w:w="80" w:type="dxa"/>
              <w:start w:w="90" w:type="dxa"/>
              <w:bottom w:w="80" w:type="dxa"/>
              <w:end w:w="90" w:type="dxa"/>
            </w:tcMar>
          </w:tcPr>
          <w:p>
            <w:pPr>
              <w:pStyle w:val="ReportTable"/>
              <w:jc w:val="left"/>
            </w:pPr>
            <w:r>
              <w:rPr>
                <w:rFonts w:ascii="Times New Roman" w:hAnsi="Times New Roman"/>
                <w:b/>
                <w:sz w:val="24"/>
              </w:rPr>
              <w:t>Thuật toán</w:t>
            </w:r>
          </w:p>
        </w:tc>
        <w:tc>
          <w:tcPr>
            <w:tcW w:type="dxa" w:w="1814"/>
            <w:shd w:fill="EDEDED"/>
            <w:vAlign w:val="center"/>
            <w:tcMar>
              <w:top w:w="80" w:type="dxa"/>
              <w:start w:w="90" w:type="dxa"/>
              <w:bottom w:w="80" w:type="dxa"/>
              <w:end w:w="90" w:type="dxa"/>
            </w:tcMar>
          </w:tcPr>
          <w:p>
            <w:pPr>
              <w:pStyle w:val="ReportTable"/>
              <w:jc w:val="left"/>
            </w:pPr>
            <w:r>
              <w:rPr>
                <w:rFonts w:ascii="Times New Roman" w:hAnsi="Times New Roman"/>
                <w:b/>
                <w:sz w:val="24"/>
              </w:rPr>
              <w:t>Sinh khóa</w:t>
            </w:r>
          </w:p>
        </w:tc>
        <w:tc>
          <w:tcPr>
            <w:tcW w:type="dxa" w:w="1814"/>
            <w:shd w:fill="EDEDED"/>
            <w:vAlign w:val="center"/>
            <w:tcMar>
              <w:top w:w="80" w:type="dxa"/>
              <w:start w:w="90" w:type="dxa"/>
              <w:bottom w:w="80" w:type="dxa"/>
              <w:end w:w="90" w:type="dxa"/>
            </w:tcMar>
          </w:tcPr>
          <w:p>
            <w:pPr>
              <w:pStyle w:val="ReportTable"/>
              <w:jc w:val="left"/>
            </w:pPr>
            <w:r>
              <w:rPr>
                <w:rFonts w:ascii="Times New Roman" w:hAnsi="Times New Roman"/>
                <w:b/>
                <w:sz w:val="24"/>
              </w:rPr>
              <w:t>Ký</w:t>
            </w:r>
          </w:p>
        </w:tc>
        <w:tc>
          <w:tcPr>
            <w:tcW w:type="dxa" w:w="1814"/>
            <w:shd w:fill="EDEDED"/>
            <w:vAlign w:val="center"/>
            <w:tcMar>
              <w:top w:w="80" w:type="dxa"/>
              <w:start w:w="90" w:type="dxa"/>
              <w:bottom w:w="80" w:type="dxa"/>
              <w:end w:w="90" w:type="dxa"/>
            </w:tcMar>
          </w:tcPr>
          <w:p>
            <w:pPr>
              <w:pStyle w:val="ReportTable"/>
              <w:jc w:val="left"/>
            </w:pPr>
            <w:r>
              <w:rPr>
                <w:rFonts w:ascii="Times New Roman" w:hAnsi="Times New Roman"/>
                <w:b/>
                <w:sz w:val="24"/>
              </w:rPr>
              <w:t>Kiểm tra</w:t>
            </w:r>
          </w:p>
        </w:tc>
        <w:tc>
          <w:tcPr>
            <w:tcW w:type="dxa" w:w="1814"/>
            <w:shd w:fill="EDEDED"/>
            <w:vAlign w:val="center"/>
            <w:tcMar>
              <w:top w:w="80" w:type="dxa"/>
              <w:start w:w="90" w:type="dxa"/>
              <w:bottom w:w="80" w:type="dxa"/>
              <w:end w:w="90" w:type="dxa"/>
            </w:tcMar>
          </w:tcPr>
          <w:p>
            <w:pPr>
              <w:pStyle w:val="ReportTable"/>
              <w:jc w:val="left"/>
            </w:pPr>
            <w:r>
              <w:rPr>
                <w:rFonts w:ascii="Times New Roman" w:hAnsi="Times New Roman"/>
                <w:b/>
                <w:sz w:val="24"/>
              </w:rPr>
              <w:t>Chữ ký</w:t>
            </w:r>
          </w:p>
        </w:tc>
      </w:tr>
      <w:tr>
        <w:trPr>
          <w:cantSplit/>
        </w:trPr>
        <w:tc>
          <w:tcPr>
            <w:tcW w:type="dxa" w:w="2551"/>
            <w:vAlign w:val="center"/>
            <w:tcMar>
              <w:top w:w="80" w:type="dxa"/>
              <w:start w:w="90" w:type="dxa"/>
              <w:bottom w:w="80" w:type="dxa"/>
              <w:end w:w="90" w:type="dxa"/>
            </w:tcMar>
          </w:tcPr>
          <w:p>
            <w:pPr>
              <w:pStyle w:val="ReportTable"/>
              <w:jc w:val="left"/>
            </w:pPr>
            <w:r>
              <w:rPr>
                <w:rFonts w:ascii="Times New Roman" w:hAnsi="Times New Roman"/>
                <w:sz w:val="24"/>
              </w:rPr>
              <w:t>RSA-2048</w:t>
            </w:r>
          </w:p>
        </w:tc>
        <w:tc>
          <w:tcPr>
            <w:tcW w:type="dxa" w:w="1304"/>
            <w:vAlign w:val="center"/>
            <w:tcMar>
              <w:top w:w="80" w:type="dxa"/>
              <w:start w:w="90" w:type="dxa"/>
              <w:bottom w:w="80" w:type="dxa"/>
              <w:end w:w="90" w:type="dxa"/>
            </w:tcMar>
          </w:tcPr>
          <w:p>
            <w:pPr>
              <w:pStyle w:val="ReportTable"/>
              <w:jc w:val="left"/>
            </w:pPr>
            <w:r>
              <w:rPr>
                <w:rFonts w:ascii="Times New Roman" w:hAnsi="Times New Roman"/>
                <w:sz w:val="24"/>
              </w:rPr>
              <w:t>60.964</w:t>
            </w:r>
          </w:p>
        </w:tc>
        <w:tc>
          <w:tcPr>
            <w:tcW w:type="dxa" w:w="1247"/>
            <w:vAlign w:val="center"/>
            <w:tcMar>
              <w:top w:w="80" w:type="dxa"/>
              <w:start w:w="90" w:type="dxa"/>
              <w:bottom w:w="80" w:type="dxa"/>
              <w:end w:w="90" w:type="dxa"/>
            </w:tcMar>
          </w:tcPr>
          <w:p>
            <w:pPr>
              <w:pStyle w:val="ReportTable"/>
              <w:jc w:val="left"/>
            </w:pPr>
            <w:r>
              <w:rPr>
                <w:rFonts w:ascii="Times New Roman" w:hAnsi="Times New Roman"/>
                <w:sz w:val="24"/>
              </w:rPr>
              <w:t>0.436</w:t>
            </w:r>
          </w:p>
        </w:tc>
        <w:tc>
          <w:tcPr>
            <w:tcW w:type="dxa" w:w="1757"/>
            <w:vAlign w:val="center"/>
            <w:tcMar>
              <w:top w:w="80" w:type="dxa"/>
              <w:start w:w="90" w:type="dxa"/>
              <w:bottom w:w="80" w:type="dxa"/>
              <w:end w:w="90" w:type="dxa"/>
            </w:tcMar>
          </w:tcPr>
          <w:p>
            <w:pPr>
              <w:pStyle w:val="ReportTable"/>
              <w:jc w:val="left"/>
            </w:pPr>
            <w:r>
              <w:rPr>
                <w:rFonts w:ascii="Times New Roman" w:hAnsi="Times New Roman"/>
                <w:sz w:val="24"/>
              </w:rPr>
              <w:t>0.512</w:t>
            </w:r>
          </w:p>
        </w:tc>
        <w:tc>
          <w:tcPr>
            <w:tcW w:type="dxa" w:w="2211"/>
            <w:vAlign w:val="center"/>
            <w:tcMar>
              <w:top w:w="80" w:type="dxa"/>
              <w:start w:w="90" w:type="dxa"/>
              <w:bottom w:w="80" w:type="dxa"/>
              <w:end w:w="90" w:type="dxa"/>
            </w:tcMar>
          </w:tcPr>
          <w:p>
            <w:pPr>
              <w:pStyle w:val="ReportTable"/>
              <w:jc w:val="left"/>
            </w:pPr>
            <w:r>
              <w:rPr>
                <w:rFonts w:ascii="Times New Roman" w:hAnsi="Times New Roman"/>
                <w:sz w:val="24"/>
              </w:rPr>
              <w:t>256 B</w:t>
            </w:r>
          </w:p>
        </w:tc>
      </w:tr>
      <w:tr>
        <w:trPr>
          <w:cantSplit/>
        </w:trPr>
        <w:tc>
          <w:tcPr>
            <w:tcW w:type="dxa" w:w="2551"/>
            <w:vAlign w:val="center"/>
            <w:tcMar>
              <w:top w:w="80" w:type="dxa"/>
              <w:start w:w="90" w:type="dxa"/>
              <w:bottom w:w="80" w:type="dxa"/>
              <w:end w:w="90" w:type="dxa"/>
            </w:tcMar>
          </w:tcPr>
          <w:p>
            <w:pPr>
              <w:pStyle w:val="ReportTable"/>
              <w:jc w:val="left"/>
            </w:pPr>
            <w:r>
              <w:rPr>
                <w:rFonts w:ascii="Times New Roman" w:hAnsi="Times New Roman"/>
                <w:sz w:val="24"/>
              </w:rPr>
              <w:t>RSA-3072</w:t>
            </w:r>
          </w:p>
        </w:tc>
        <w:tc>
          <w:tcPr>
            <w:tcW w:type="dxa" w:w="1304"/>
            <w:vAlign w:val="center"/>
            <w:tcMar>
              <w:top w:w="80" w:type="dxa"/>
              <w:start w:w="90" w:type="dxa"/>
              <w:bottom w:w="80" w:type="dxa"/>
              <w:end w:w="90" w:type="dxa"/>
            </w:tcMar>
          </w:tcPr>
          <w:p>
            <w:pPr>
              <w:pStyle w:val="ReportTable"/>
              <w:jc w:val="left"/>
            </w:pPr>
            <w:r>
              <w:rPr>
                <w:rFonts w:ascii="Times New Roman" w:hAnsi="Times New Roman"/>
                <w:sz w:val="24"/>
              </w:rPr>
              <w:t>222.594</w:t>
            </w:r>
          </w:p>
        </w:tc>
        <w:tc>
          <w:tcPr>
            <w:tcW w:type="dxa" w:w="1247"/>
            <w:vAlign w:val="center"/>
            <w:tcMar>
              <w:top w:w="80" w:type="dxa"/>
              <w:start w:w="90" w:type="dxa"/>
              <w:bottom w:w="80" w:type="dxa"/>
              <w:end w:w="90" w:type="dxa"/>
            </w:tcMar>
          </w:tcPr>
          <w:p>
            <w:pPr>
              <w:pStyle w:val="ReportTable"/>
              <w:jc w:val="left"/>
            </w:pPr>
            <w:r>
              <w:rPr>
                <w:rFonts w:ascii="Times New Roman" w:hAnsi="Times New Roman"/>
                <w:sz w:val="24"/>
              </w:rPr>
              <w:t>1.092</w:t>
            </w:r>
          </w:p>
        </w:tc>
        <w:tc>
          <w:tcPr>
            <w:tcW w:type="dxa" w:w="1757"/>
            <w:vAlign w:val="center"/>
            <w:tcMar>
              <w:top w:w="80" w:type="dxa"/>
              <w:start w:w="90" w:type="dxa"/>
              <w:bottom w:w="80" w:type="dxa"/>
              <w:end w:w="90" w:type="dxa"/>
            </w:tcMar>
          </w:tcPr>
          <w:p>
            <w:pPr>
              <w:pStyle w:val="ReportTable"/>
              <w:jc w:val="left"/>
            </w:pPr>
            <w:r>
              <w:rPr>
                <w:rFonts w:ascii="Times New Roman" w:hAnsi="Times New Roman"/>
                <w:sz w:val="24"/>
              </w:rPr>
              <w:t>0.096</w:t>
            </w:r>
          </w:p>
        </w:tc>
        <w:tc>
          <w:tcPr>
            <w:tcW w:type="dxa" w:w="2211"/>
            <w:vAlign w:val="center"/>
            <w:tcMar>
              <w:top w:w="80" w:type="dxa"/>
              <w:start w:w="90" w:type="dxa"/>
              <w:bottom w:w="80" w:type="dxa"/>
              <w:end w:w="90" w:type="dxa"/>
            </w:tcMar>
          </w:tcPr>
          <w:p>
            <w:pPr>
              <w:pStyle w:val="ReportTable"/>
              <w:jc w:val="left"/>
            </w:pPr>
            <w:r>
              <w:rPr>
                <w:rFonts w:ascii="Times New Roman" w:hAnsi="Times New Roman"/>
                <w:sz w:val="24"/>
              </w:rPr>
              <w:t>384 B</w:t>
            </w:r>
          </w:p>
        </w:tc>
      </w:tr>
      <w:tr>
        <w:trPr>
          <w:cantSplit/>
        </w:trPr>
        <w:tc>
          <w:tcPr>
            <w:tcW w:type="dxa" w:w="2551"/>
            <w:vAlign w:val="center"/>
            <w:tcMar>
              <w:top w:w="80" w:type="dxa"/>
              <w:start w:w="90" w:type="dxa"/>
              <w:bottom w:w="80" w:type="dxa"/>
              <w:end w:w="90" w:type="dxa"/>
            </w:tcMar>
          </w:tcPr>
          <w:p>
            <w:pPr>
              <w:pStyle w:val="ReportTable"/>
              <w:jc w:val="left"/>
            </w:pPr>
            <w:r>
              <w:rPr>
                <w:rFonts w:ascii="Times New Roman" w:hAnsi="Times New Roman"/>
                <w:sz w:val="24"/>
              </w:rPr>
              <w:t>ECDSA-P256</w:t>
            </w:r>
          </w:p>
        </w:tc>
        <w:tc>
          <w:tcPr>
            <w:tcW w:type="dxa" w:w="1304"/>
            <w:vAlign w:val="center"/>
            <w:tcMar>
              <w:top w:w="80" w:type="dxa"/>
              <w:start w:w="90" w:type="dxa"/>
              <w:bottom w:w="80" w:type="dxa"/>
              <w:end w:w="90" w:type="dxa"/>
            </w:tcMar>
          </w:tcPr>
          <w:p>
            <w:pPr>
              <w:pStyle w:val="ReportTable"/>
              <w:jc w:val="left"/>
            </w:pPr>
            <w:r>
              <w:rPr>
                <w:rFonts w:ascii="Times New Roman" w:hAnsi="Times New Roman"/>
                <w:sz w:val="24"/>
              </w:rPr>
              <w:t>0.016</w:t>
            </w:r>
          </w:p>
        </w:tc>
        <w:tc>
          <w:tcPr>
            <w:tcW w:type="dxa" w:w="1247"/>
            <w:vAlign w:val="center"/>
            <w:tcMar>
              <w:top w:w="80" w:type="dxa"/>
              <w:start w:w="90" w:type="dxa"/>
              <w:bottom w:w="80" w:type="dxa"/>
              <w:end w:w="90" w:type="dxa"/>
            </w:tcMar>
          </w:tcPr>
          <w:p>
            <w:pPr>
              <w:pStyle w:val="ReportTable"/>
              <w:jc w:val="left"/>
            </w:pPr>
            <w:r>
              <w:rPr>
                <w:rFonts w:ascii="Times New Roman" w:hAnsi="Times New Roman"/>
                <w:sz w:val="24"/>
              </w:rPr>
              <w:t>0.034</w:t>
            </w:r>
          </w:p>
        </w:tc>
        <w:tc>
          <w:tcPr>
            <w:tcW w:type="dxa" w:w="1757"/>
            <w:vAlign w:val="center"/>
            <w:tcMar>
              <w:top w:w="80" w:type="dxa"/>
              <w:start w:w="90" w:type="dxa"/>
              <w:bottom w:w="80" w:type="dxa"/>
              <w:end w:w="90" w:type="dxa"/>
            </w:tcMar>
          </w:tcPr>
          <w:p>
            <w:pPr>
              <w:pStyle w:val="ReportTable"/>
              <w:jc w:val="left"/>
            </w:pPr>
            <w:r>
              <w:rPr>
                <w:rFonts w:ascii="Times New Roman" w:hAnsi="Times New Roman"/>
                <w:sz w:val="24"/>
              </w:rPr>
              <w:t>0.113</w:t>
            </w:r>
          </w:p>
        </w:tc>
        <w:tc>
          <w:tcPr>
            <w:tcW w:type="dxa" w:w="2211"/>
            <w:vAlign w:val="center"/>
            <w:tcMar>
              <w:top w:w="80" w:type="dxa"/>
              <w:start w:w="90" w:type="dxa"/>
              <w:bottom w:w="80" w:type="dxa"/>
              <w:end w:w="90" w:type="dxa"/>
            </w:tcMar>
          </w:tcPr>
          <w:p>
            <w:pPr>
              <w:pStyle w:val="ReportTable"/>
              <w:jc w:val="left"/>
            </w:pPr>
            <w:r>
              <w:rPr>
                <w:rFonts w:ascii="Times New Roman" w:hAnsi="Times New Roman"/>
                <w:sz w:val="24"/>
              </w:rPr>
              <w:t>70 B</w:t>
            </w:r>
          </w:p>
        </w:tc>
      </w:tr>
    </w:tbl>
    <w:p>
      <w:pPr>
        <w:pStyle w:val="Heading2"/>
      </w:pPr>
      <w:r>
        <w:rPr>
          <w:rFonts w:ascii="Times New Roman" w:hAnsi="Times New Roman"/>
          <w:b/>
          <w:sz w:val="26"/>
        </w:rPr>
        <w:t>B.2.7.2. Nhận xét từ dữ liệu tham khảo</w:t>
      </w:r>
    </w:p>
    <w:p>
      <w:pPr>
        <w:jc w:val="both"/>
      </w:pPr>
      <w:r>
        <w:t>Trên môi trường tham khảo, các phép toán đường cong elliptic P-256 có thời gian sinh khóa và thỏa thuận khóa nhỏ hơn đáng kể so với DH-2048 sử dụng số học mô-đun lớn. Tuy nhiên, kết quả này còn phụ thuộc vào phần mềm, cách tạo tham số và khả năng tăng tốc của máy. Ở lớp ứng dụng, ECDH và DH đều chỉ được thực hiện khi thiết lập khóa phiên, không phải cho từng byte dữ liệu truyền đi. HKDF tạo khóa phù hợp để sử dụng tiếp với thuật toán mã hóa đối xứng.</w:t>
      </w:r>
    </w:p>
    <w:p>
      <w:pPr>
        <w:jc w:val="both"/>
      </w:pPr>
      <w:r>
        <w:t>Với bản tin 1 MiB, cả AES-256-GCM và ChaCha20-Poly1305 đều hoàn thành phép mã hóa ở thang thời gian dưới 1 ms trong lần đo tham khảo. ChaCha20-Poly1305 có trung bình mã hóa thấp hơn AES-256-GCM trong mẫu này, nhưng không thể kết luận luôn nhanh hơn trên mọi phần cứng. AES có thể được tăng tốc bằng các tập lệnh chuyên dụng, trong khi ChaCha20 hoạt động tốt trên nhiều nền tảng không có tăng tốc AES. Hai thuật toán đều cung cấp mã hóa có xác thực và đều đòi hỏi quản lý nonce đúng quy tắc.</w:t>
      </w:r>
    </w:p>
    <w:p>
      <w:pPr>
        <w:jc w:val="both"/>
      </w:pPr>
      <w:r>
        <w:t>Ở bảng chữ ký, ECDSA P-256 có thời gian ký tham khảo thấp và kích thước chữ ký ngắn hơn nhiều so với RSA-2048 hoặc RSA-3072. Việc xác minh RSA thường nhanh do số mũ công khai nhỏ, nhưng số đo trung bình lần này có nhiễu ngoại lệ, nhất là ở RSA-2048; nên xem thêm trung vị và đo lại trên máy nhóm trước khi rút kết luận. Chữ ký ECDSA trong bảng tham khảo dùng mã hóa DER dài biến thiên, còn hàm DSS của PyCryptodome mặc định cho dạng nhị phân cố định 64 byte, vì vậy kích thước không thể đối chiếu một-một. Các kết quả trên làm rõ lợi ích của mô hình lai: thuật toán khóa công khai bảo vệ việc trao khóa và xác thực, trong khi mã đối xứng xử lý dữ liệu lớn hiệu quả hơn.</w:t>
      </w:r>
    </w:p>
    <w:p>
      <w:pPr>
        <w:pStyle w:val="Heading2"/>
      </w:pPr>
      <w:r>
        <w:rPr>
          <w:rFonts w:ascii="Times New Roman" w:hAnsi="Times New Roman"/>
          <w:b/>
          <w:sz w:val="26"/>
        </w:rPr>
        <w:t>C1. Vì sao Diffie–Hellman thuần túy không chống được kẻ tấn công chủ động?</w:t>
      </w:r>
    </w:p>
    <w:p>
      <w:pPr>
        <w:jc w:val="both"/>
      </w:pPr>
      <w:r>
        <w:t>Diffie–Hellman thuần túy chỉ bảo đảm rằng các bên biết đúng bí mật riêng có thể tính cùng khóa chung dựa trên các giá trị công khai nhận được; nó không cung cấp bằng chứng rằng giá trị công khai đó thật sự do người mong muốn gửi. Eve đứng giữa có thể thay A và B bằng giá trị do mình tạo mà không cần giải bài toán logarit rời rạc. Khi đó Alice thiết lập khóa với Eve, Bob cũng thiết lập khóa với Eve, còn Eve có khả năng giải mã, thay đổi rồi mã hóa lại dữ liệu chuyển tiếp. HKDF và AEAD không tự xác thực danh tính người trao khóa nên cũng không khắc phục được lỗ hổng này nếu thiếu chữ ký hoặc một hình thức xác thực khác.</w:t>
      </w:r>
    </w:p>
    <w:p>
      <w:pPr>
        <w:jc w:val="both"/>
      </w:pPr>
      <w:r>
        <w:t>Minh chứng số học trong log của chế độ MITM sử dụng p = 23, g = 5: Alice công bố A = 8, Bob công bố B = 19; Eve thay chúng bằng E_A = 22 và E_B = 17. Alice/Eve cùng tính K_AE = 1, còn Bob/Eve cùng tính K_EB = 15. Hai khóa khác nhau nhưng Eve đều biết, vì thế vẫn đọc được thông điệp trên cả hai nhánh. Khi bật chế độ xác thực, chữ ký ECDSA ràng buộc điểm ECDH tạm với danh tính và phiên; chứng thư do CA ký xác minh chủ thể, khiến việc thay thế của Eve bị phát hiện trước khi tính khóa.</w:t>
      </w:r>
    </w:p>
    <w:p>
      <w:pPr>
        <w:pStyle w:val="Heading2"/>
      </w:pPr>
      <w:r>
        <w:rPr>
          <w:rFonts w:ascii="Times New Roman" w:hAnsi="Times New Roman"/>
          <w:b/>
          <w:sz w:val="26"/>
        </w:rPr>
        <w:t>C3. Vì sao tag của AES-GCM phát hiện sửa đổi, ECB/CBC trần thì không?</w:t>
      </w:r>
    </w:p>
    <w:p>
      <w:pPr>
        <w:jc w:val="both"/>
      </w:pPr>
      <w:r>
        <w:t>AES-GCM cung cấp đồng thời mã hóa và xác thực. Tag 128 bit của GCM được tính từ khóa bí mật, nonce, bản mã và dữ liệu AAD; người nhận tính và đối chiếu tag theo đúng thông tin nhận được. Nếu Eve đổi một bit của ciphertext hoặc AAD mà không biết khóa, tag kiểm tra gần như chắc chắn sai trong điều kiện sử dụng đúng, và chương trình từ chối gói trước khi trả bản rõ. Đây là lý do GCM có khả năng phát hiện thay đổi trái phép trong khi việc giải mã thành công về mặt cú pháp không đủ để khẳng định một thông điệp đáng tin cậy.</w:t>
      </w:r>
    </w:p>
    <w:p>
      <w:pPr>
        <w:jc w:val="both"/>
      </w:pPr>
      <w:r>
        <w:t>ECB và CBC dùng riêng chỉ là các chế độ mã hóa, không tích hợp tag xác thực mật mã. ECB còn bộc lộ cấu trúc khi các khối bản rõ giống nhau tạo ra khối bản mã giống nhau dưới cùng khóa. CBC có thể bị sửa đổi có kiểm soát và dễ dẫn tới rủi ro padding oracle nếu xử lý thông báo lỗi không an toàn. Việc kết hợp CBC với một MAC đúng chuẩn và kiểm tra đúng thứ tự có thể cung cấp tính toàn vẹn, nhưng khi đó không còn là ECB/CBC “trần” được nêu trong câu hỏi.</w:t>
      </w:r>
    </w:p>
    <w:p>
      <w:pPr>
        <w:jc w:val="both"/>
      </w:pPr>
      <w:r>
        <w:t>Nếu dùng lại cùng cặp (khóa, nonce) trong GCM, luồng khóa kiểu CTR có thể lặp. Với hai bản rõ có cùng chiều dài tương ứng, kẻ quan sát sẽ có C1 XOR C2 = P1 XOR P2 và có thể suy ra thông tin về dữ liệu, đặc biệt nếu biết một trong hai bản rõ. Nghiêm trọng hơn, việc tái sử dụng nonce có thể làm suy yếu cơ chế xác thực GHASH, tạo điều kiện giả mạo gói và tag. Vì vậy chương trình phải tạo nonce mới cho mỗi lần mã hóa và hệ thống triển khai thật phải bảo đảm nonce không trùng đối với cùng một khóa.</w:t>
      </w:r>
    </w:p>
    <w:p>
      <w:pPr>
        <w:pStyle w:val="Heading2"/>
      </w:pPr>
      <w:r>
        <w:rPr>
          <w:rFonts w:ascii="Times New Roman" w:hAnsi="Times New Roman"/>
          <w:b/>
          <w:sz w:val="26"/>
        </w:rPr>
        <w:t>B.9. Mở rộng: tự cài ECDSA trên đường cong elliptic nhỏ</w:t>
      </w:r>
    </w:p>
    <w:p>
      <w:pPr>
        <w:pStyle w:val="Heading2"/>
      </w:pPr>
      <w:r>
        <w:rPr>
          <w:rFonts w:ascii="Times New Roman" w:hAnsi="Times New Roman"/>
          <w:b/>
          <w:sz w:val="26"/>
        </w:rPr>
        <w:t>B.9.1. Tham số và các phép toán điểm</w:t>
      </w:r>
    </w:p>
    <w:p>
      <w:pPr>
        <w:jc w:val="both"/>
      </w:pPr>
      <w:r>
        <w:t>Theo bộ dữ liệu đề bài, đường cong được định nghĩa E17(3,5): y² = x³ + 3x + 5 (mod 17). Điểm cơ sở G = (5,3) có bậc n = 23, thỏa mãn 23G là điểm vô cực O. Mô-đun tự cài toy_ecdsa.py biểu diễn O bằng None; thực hiện kiểm tra điểm trên đường cong, cộng hai điểm, nhân đôi và nhân vô hướng theo phương pháp cộng lặp kiểu double-and-add. Các phép chia trong công thức hệ số góc được thay bằng nghịch đảo modulo 17.</w:t>
      </w:r>
    </w:p>
    <w:p>
      <w:pPr>
        <w:jc w:val="both"/>
      </w:pPr>
      <w:r>
        <w:t>Khi cộng hai điểm khác nhau P = (x1,y1) và Q = (x2,y2), hệ số góc là λ = (y2 − y1)(x2 − x1)⁻¹ mod 17. Khi nhân đôi P = Q, λ = (3x1² + 3)(2y1)⁻¹ mod 17. Tọa độ kết quả được tính x3 = λ² − x1 − x2 mod 17 và y3 = λ(x1 − x3) − y1 mod 17. Trường hợp Q = −P được xử lý bằng điểm vô cực O. Tất cả các phép toán này chỉ nhằm tái hiện ECDSA trên tập nhỏ, không sử dụng thư viện ECC tiêu chuẩn.</w:t>
      </w:r>
    </w:p>
    <w:p>
      <w:pPr>
        <w:pStyle w:val="Heading2"/>
      </w:pPr>
      <w:r>
        <w:rPr>
          <w:rFonts w:ascii="Times New Roman" w:hAnsi="Times New Roman"/>
          <w:b/>
          <w:sz w:val="26"/>
        </w:rPr>
        <w:t>B.9.2. Sinh khóa, tạo chữ ký và xác minh</w:t>
      </w:r>
    </w:p>
    <w:p>
      <w:pPr>
        <w:jc w:val="both"/>
      </w:pPr>
      <w:r>
        <w:t>Chọn khóa riêng d = 7, suy ra khóa công khai Q = dG = 7G = (12,16). Với giá trị băm đại diện h = 10 và số ngẫu nhiên minh họa k = 5, tính R = kG = 5G = (16,1). Giá trị r là tọa độ x của R sau khi lấy modulo n, nên r = 16. Vì nghịch đảo của 5 modulo 23 là 14, tính s = k⁻¹(h + d·r) mod 23 = 14(10 + 7·16) mod 23 = 6. Chữ ký thu được (r,s) = (16,6), đúng bộ kết quả mà đề cho.</w:t>
      </w:r>
    </w:p>
    <w:p>
      <w:pPr>
        <w:jc w:val="both"/>
      </w:pPr>
      <w:r>
        <w:t>Để xác minh, tính w = s⁻¹ mod 23 = 4, u1 = h·w mod 23 = 17 và u2 = r·w mod 23 = 18. Điểm kiểm tra X = u1G + u2Q = (16,1) có hoành độ thỏa x_X mod 23 = 16 = r nên chữ ký hợp lệ. Nếu giữ (r,s) nhưng đổi h từ 10 thành 11 thì phép kiểm tra thất bại. Các bài kiểm thử số nhỏ chạy được trong Python không cần PyCryptodome; kết quả thực tế đã xác nhận Q = (12,16), (r,s) = (16,6) và X = (16,1).</w:t>
      </w:r>
    </w:p>
    <w:p>
      <w:pPr>
        <w:jc w:val="both"/>
      </w:pPr>
      <w:r>
        <w:t>Nonce k = 5 ở đây được ấn định để đối chiếu đáp án học thuật, hoàn toàn không phải cách ký an toàn. Trong ECDSA thực tế, việc lộ hoặc lặp k có thể làm lộ khóa riêng d. Đường cong nhỏ E17 cũng không cung cấp bảo mật; phần ký dữ liệu thật của dự án phải dùng ECDSA P-256 của thư viện chuẩn, tách biệt với module toy_ecdsa.py.</w:t>
      </w:r>
    </w:p>
    <w:p>
      <w:pPr>
        <w:pStyle w:val="Heading2"/>
      </w:pPr>
      <w:r>
        <w:rPr>
          <w:rFonts w:ascii="Times New Roman" w:hAnsi="Times New Roman"/>
          <w:b/>
          <w:sz w:val="26"/>
        </w:rPr>
        <w:t>Kiểm thử, tích hợp nhóm và trạng thái hoàn thành</w:t>
      </w:r>
    </w:p>
    <w:p>
      <w:pPr>
        <w:jc w:val="both"/>
      </w:pPr>
      <w:r>
        <w:t>Bộ mã nguồn tích hợp đặt các hàm DH/ECDH/HKDF trong function/key_exchange.py, AEAD trong function/aead.py, chứng thư JSON trong function/mini_pki.py và hai kịch bản MITM trong function/mitm.py. Module function/toy_ecdsa.py phục vụ phần mở rộng, còn app.py tạo giao diện Flask và các API /api/toy-dh, /api/ecdh, /api/aead, /api/mitm, /api/toy-ecdsa, /api/benchmarks. Các thành viên phụ trách B.2.1 đến B.2.4 có thể sử dụng lại phần mini-PKI và hàm chứng thực để ghép các chức năng sinh khóa, ký số và chứng thư vào cùng hệ thống.</w:t>
      </w:r>
    </w:p>
    <w:p>
      <w:pPr>
        <w:jc w:val="both"/>
      </w:pPr>
      <w:r>
        <w:t>Trong lần kiểm tra hiện có, 10 bài thử unittest đã được thực thi: 5 bài đạt gồm các vector ECDSA, phép toán điểm, HMAC-SHA256 và dữ liệu băm; 5 bài phụ thuộc PyCryptodome được đánh dấu SKIP do chưa cài thư viện trong môi trường biên soạn. Việc kiểm tra cú pháp bằng compileall không phát hiện lỗi. Vì thế không nên ghi toàn bộ chức năng ECDH, AEAD, MITM và PKI là “đã chạy đạt” trước khi nhóm thực thi và xác nhận trên máy chạy Flask.</w:t>
      </w:r>
    </w:p>
    <w:p>
      <w:pPr>
        <w:jc w:val="both"/>
      </w:pPr>
      <w:r>
        <w:t>Để hoàn tất minh chứng nộp bài, nhóm cần chạy lần lượt “python -m pip install -r requirements.txt”, “python -m unittest -v tests_crypto”, “python app.py” và “python benchmark_crypto.py --runs 20” từ thư mục app. Sau khi các bài thử tích hợp đạt, cần lưu ảnh giao diện giải mã đúng và từ chối sửa 1 bit, log Eve đọc được tin ở chế độ không xác thực, log chứng thư/chữ ký từ chối MITM ở chế độ có xác thực, cùng bảng đo xuất từ JSON/CSV trên máy nhóm. Các kết quả thời gian tham khảo trong báo cáo phải được thay bằng bảng đo chính thức trước khi nộp.</w:t>
      </w:r>
    </w:p>
    <w:p>
      <w:pPr>
        <w:pStyle w:val="Heading2"/>
      </w:pPr>
      <w:r>
        <w:rPr>
          <w:rFonts w:ascii="Times New Roman" w:hAnsi="Times New Roman"/>
          <w:b/>
          <w:sz w:val="26"/>
        </w:rPr>
        <w:t>Tài liệu đối chiếu</w:t>
      </w:r>
    </w:p>
    <w:p>
      <w:pPr>
        <w:jc w:val="both"/>
      </w:pPr>
      <w:r>
        <w:t>Đề bài thực hành số 2, các mục B.2.5, B.2.6, B.2.7, B.5, B.8 và B.9 (tài liệu môn Mật mã lý thuyết). Mã nguồn nhóm: https://github.com/hinn-no1/BaiTapLon2_MMH. Thông số và quy tắc kỹ thuật tham khảo: RFC 3526 (nhóm DH 2048 bit), RFC 5869 (HKDF), NIST SP 800-38D (GCM) và tài liệu PyCryptodome về DH, HKDF, ECDSA và các chế độ AEAD. Các giá trị thời gian tham khảo trong Bảng 2–4 được lưu cùng script đo để có thể đối chiếu điều kiện đo.</w:t>
      </w:r>
    </w:p>
    <w:sectPr w:rsidR="00FC693F" w:rsidRPr="0006063C" w:rsidSect="00034616">
      <w:footerReference w:type="default" r:id="rId9"/>
      <w:pgSz w:w="11906" w:h="16838"/>
      <w:pgMar w:top="1134" w:right="1304" w:bottom="1134" w:left="153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Báo cáo B.2.5 – B.2.6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1" w:lineRule="auto"/>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able">
    <w:name w:val="Report Table"/>
    <w:basedOn w:val="Normal"/>
    <w:pPr>
      <w:spacing w:line="247"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DH ECDH HKDF AEAD MITM C1 C3 ECDSA</dc:title>
  <dc:subject>Bài tập lớn 2 - Mật mã lý thuyết</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