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AIセキュリティ＆ガバナンス</w:t>
      </w:r>
    </w:p>
    <w:p>
      <w:pPr>
        <w:spacing w:after="300"/>
        <w:jc w:val="center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統合マスターフレームワーク v0.1（β版）</w:t>
      </w:r>
    </w:p>
    <w:p>
      <w:pPr>
        <w:spacing w:after="1800"/>
        <w:jc w:val="center"/>
      </w:pPr>
      <w:r>
        <w:rPr>
          <w:rFonts w:ascii="Yu Gothic" w:eastAsia="Yu Gothic" w:hAnsi="Yu Gothic"/>
          <w:b/>
          <w:bCs/>
          <w:sz w:val="32"/>
          <w:szCs w:val="32"/>
        </w:rPr>
        <w:t xml:space="preserve">OSCALカタログ 解説文書・利用ガイド</w:t>
      </w:r>
    </w:p>
    <w:p>
      <w:pPr>
        <w:spacing w:after="160" w:line="300"/>
        <w:jc w:val="center"/>
      </w:pPr>
      <w:r>
        <w:rPr>
          <w:rFonts w:ascii="Yu Gothic" w:eastAsia="Yu Gothic" w:hAnsi="Yu Gothic"/>
          <w:sz w:val="21"/>
          <w:szCs w:val="21"/>
        </w:rPr>
        <w:t xml:space="preserve">カタログバージョン: 0.1.0-beta（パブリックβ） ／ OSCALバージョン: 1.1.2</w:t>
      </w:r>
    </w:p>
    <w:p>
      <w:pPr>
        <w:spacing w:after="160" w:line="300"/>
        <w:jc w:val="center"/>
      </w:pPr>
      <w:r>
        <w:rPr>
          <w:rFonts w:ascii="Yu Gothic" w:eastAsia="Yu Gothic" w:hAnsi="Yu Gothic"/>
          <w:sz w:val="21"/>
          <w:szCs w:val="21"/>
        </w:rPr>
        <w:t xml:space="preserve">収録コントロール数: 207（6機能 × 37カテゴリ）</w:t>
      </w:r>
    </w:p>
    <w:p>
      <w:pPr>
        <w:spacing w:after="160" w:line="300"/>
        <w:jc w:val="center"/>
      </w:pPr>
      <w:r>
        <w:rPr>
          <w:rFonts w:ascii="Yu Gothic" w:eastAsia="Yu Gothic" w:hAnsi="Yu Gothic"/>
          <w:sz w:val="21"/>
          <w:szCs w:val="21"/>
        </w:rPr>
        <w:t xml:space="preserve">AI-Expansion: 108 ／ AI-Enhancement: 99</w:t>
      </w:r>
    </w:p>
    <w:p>
      <w:pPr>
        <w:spacing w:after="160" w:line="300"/>
        <w:jc w:val="center"/>
      </w:pPr>
      <w:r>
        <w:rPr>
          <w:rFonts w:ascii="Yu Gothic" w:eastAsia="Yu Gothic" w:hAnsi="Yu Gothic"/>
          <w:sz w:val="21"/>
          <w:szCs w:val="21"/>
        </w:rPr>
        <w:t xml:space="preserve">マッピング対象8基準 ＋ 参照ソース11文書 ＝ 19基準対応</w:t>
      </w:r>
    </w:p>
    <w:p>
      <w:pPr>
        <w:spacing w:after="160" w:line="300"/>
        <w:jc w:val="center"/>
      </w:pPr>
      <w:r>
        <w:rPr>
          <w:rFonts w:ascii="Yu Gothic" w:eastAsia="Yu Gothic" w:hAnsi="Yu Gothic"/>
          <w:sz w:val="21"/>
          <w:szCs w:val="21"/>
        </w:rPr>
        <w:t xml:space="preserve">作成日: 2026年7月17日（β公開版）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1. 本書の目的と対象読者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本書は、OSCAL（Open Security Controls Assessment Language）形式で整備した「AIセキュリティ＆ガバナンス 統合マスターフレームワーク v0.1（β版）」カタログ（JSON/YAML）の構造と利用方法を解説するものです。本フレームワークは、組織がAIシステム（従来型AI、生成AI、AIエージェント、マルチエージェントシステム）を導入・運用する際に必要となるセキュリティ・ガバナンス管理策を、NIST CSF 2.0の6機能構造で体系化した207のコントロールとして定義し、国内外19の基準・公的文書との対応関係を機械可読な形で収録しています。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想定する読者と用途は次のとおりです。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セキュリティコンサルタント・アセッサー: AIセキュリティ成熟度評価・ギャップ分析の評価基準カタログとして利用する。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AIガバナンス・リスク管理担当者: 自組織の管理策整備状況を19基準と突合し、対応の優先順位付けに利用する。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アセスメント自動化システムの開発者: OSCALベースの評価パイプラインへ評価カタログとして投入する。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既存ISMS運用者: control-type区分（AI-Enhancement）を用いて、既存のISO 27001/CIS統制へのAI観点の追補箇所を特定する。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内部監査・コンプライアンス担当者: ISO/IEC 42001認証やEU AI Act対応（2026年8月本格適用）の準備状況を確認する。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2. フレームワークの全体構造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本フレームワークはNIST CSF 2.0の6機能（GV/ID/PR/DE/RS/RC）× 37カテゴリ × 207コントロールの3層構造です。CSF 2.0整合のため旧ID区分のガバナンス・組織カテゴリ（ORG）と法規制カテゴリ（LGL）をGV区分へ移設し、統治（GV）・検知（DE）・対応（RS）の各機能を重点的に拡充しました。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250"/>
        <w:gridCol w:w="1100"/>
        <w:gridCol w:w="1450"/>
        <w:gridCol w:w="145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ベースライン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拡張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合計</w:t>
            </w:r>
          </w:p>
        </w:tc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AI-Expansion</w:t>
            </w:r>
          </w:p>
        </w:tc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AI-Enhancement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GV. 統治（Govern）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14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11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ID. 特定（Identify）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29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13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PR. 防御（Protect）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26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74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48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DE. 検知（Detect）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20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RS. 対応（Respond）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RC. 復旧（Recover）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9</w:t>
            </w:r>
          </w:p>
        </w:tc>
        <w:tc>
          <w:tcPr>
            <w:tcW w:type="dxa" w:w="12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4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合計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2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136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207</w:t>
            </w:r>
          </w:p>
        </w:tc>
        <w:tc>
          <w:tcPr>
            <w:tcW w:type="dxa" w:w="14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108</w:t>
            </w:r>
          </w:p>
        </w:tc>
        <w:tc>
          <w:tcPr>
            <w:tcW w:type="dxa" w:w="14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99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2.1 コントロールIDと識別子の体系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コントロールIDは「AIMF-&lt;区分&gt;-&lt;カテゴリ3文字&gt;-&lt;NNN&gt;」の形式です。区分はNIST CSF 2.0のニーモニックコード（GV/ID/PR/DE/RS/RC）、カテゴリは区分配下の管理策カテゴリ、NNNはカテゴリ内3桁連番です。識別子の系譜は3種類のプロパティで追跡できます。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legacy-id: </w:t>
      </w:r>
      <w:r>
        <w:rPr>
          <w:rFonts w:ascii="Yu Gothic" w:eastAsia="Yu Gothic" w:hAnsi="Yu Gothic"/>
          <w:sz w:val="21"/>
          <w:szCs w:val="21"/>
        </w:rPr>
        <w:t xml:space="preserve">原フレームワーク（Markdown文書）の対策ID（aimf-2.3.1等）。v1.0から継承した71コントロールに付与。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superseded-id: </w:t>
      </w:r>
      <w:r>
        <w:rPr>
          <w:rFonts w:ascii="Yu Gothic" w:eastAsia="Yu Gothic" w:hAnsi="Yu Gothic"/>
          <w:sz w:val="21"/>
          <w:szCs w:val="21"/>
        </w:rPr>
        <w:t xml:space="preserve">v1.1カタログでのAIMF-ID。GV区分への移設で IDが変わった8コントロール（旧AIMF-ID-ORG-001〜005、旧AIMF-ID-LGL-001〜003）にのみ付与。パイプラインの移行に利用。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lineage: </w:t>
      </w:r>
      <w:r>
        <w:rPr>
          <w:rFonts w:ascii="Yu Gothic" w:eastAsia="Yu Gothic" w:hAnsi="Yu Gothic"/>
          <w:sz w:val="21"/>
          <w:szCs w:val="21"/>
        </w:rPr>
        <w:t xml:space="preserve">出自区分（baseline＝原フレームワーク＋初回ギャップ分析由来の71件／extended＝19基準精査による拡張の136件）。全コントロールに付与。段階適用の単位。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新旧ID対応表はCSV（AIMF_新旧ID対応表.csv）としても提供しています。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2.2 カテゴリ一覧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OSCAL上は、区分グループ（class="function"）の配下にカテゴリグループ（class="category"）をネストさせた3層構造です。【拡張新設】は拡張精査で新設したカテゴリを示します。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400"/>
        <w:gridCol w:w="1100"/>
        <w:gridCol w:w="1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カテゴリ名称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コントロール数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うち拡張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ORG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ガバナンス・組織体制の確立と文化の醸成（Organization）｜原1-1（IDから移設）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POL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AI方針・規程体系（Policy Suite）【拡張新設】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RSM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AIリスクマネジメント（Risk Management）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LGL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法規制・コンプライアンス（Legal &amp; Compliance）｜原1-4（IDから移設）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AUD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監査・保証・成熟度評価（Audit &amp; Assurance）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TRA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透明性・説明責任（Transparency &amp; Accountability）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AST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AI資産・コンテキスト・インフラの可視化と棚卸し（Asset Management）｜原1-2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CTX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ユースケース・事業コンテキスト管理（Business Context）【拡張新設】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SCM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サプライチェーンリスク管理（Supply Chain Management）｜原1-3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DGV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データガバナンス（Data Governance）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THR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AI脅威分析・脅威インテリジェンス（Threat Analysis）【拡張新設】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VUL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迅速な脆弱性対応・リスク判断フロー（Vulnerability Management）｜原2-1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INF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AIインフラ・ネットワークの要塞化（Infrastructure Hardening）｜原2-2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IAM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アイデンティティ・アクセス制御（Identity &amp; Access Management）｜原2-3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DAT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AIデータ保護（Data Protection）【拡張新設】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MDL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モデルライフサイクル・成果物完全性（Model Lifecycle &amp; Integrity）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RED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プロアクティブなリスク評価・実戦演習（Red Teaming &amp; Assessment）｜原2-4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GRD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ガードレール・出力統制（Guardrails &amp; Output Handling）｜原2-5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AGT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エージェント・ツール接続セキュリティ（Agent &amp; Tool Security）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HOV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人間による監督（Human Oversight）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ADV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敵対的堅牢性（Adversarial Robustness）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CAI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AI時代に対応する既存セキュリティの強化（Counter-AI Attacks）｜原2-6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EDU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層別AIセキュリティ教育（Education）｜原2-7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VUL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サプライチェーン脆弱性の継続的・動的検知（Vulnerability Detection）｜原3-1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IOM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意味論・入出力監視（Input/Output Monitoring）｜原3-2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AGT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エージェント挙動・ツール実行の動的監視（Agent Monitoring）｜原3-3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HLT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インフラ・データ・モデルの健全性監視（Health Monitoring）｜原3-4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SOC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SOC統合・検知運用（SOC Integration）【拡張新設】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ログ・証跡基盤（Logging &amp; Evidence）【拡張新設】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IRP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インシデントレスポンス体制の拡張と自動化（Incident Response Planning）｜原4-1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封じ込め・隔離（Containment）｜原4-2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RPT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外部報告・ステークホルダー通知（Reporting）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ANL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インシデント事後分析（Post-incident Analysis）【拡張新設】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RES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レジリエンスの最大化（Resilience）｜原5-1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CIM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継続的改善（Continuous Improvement）｜原5-2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DCM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モデル・データの安全な廃棄（Decommission）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RC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PMM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市販後モニタリング（Post-market Monitoring）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3. OSCALカタログのデータ構造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本カタログはOSCAL Catalogモデル（1.1.2）に準拠し、catalog直下にmetadata、groups（区分→カテゴリ→コントロール）、back-matter（19基準のリソース）を持ちます。各コントロールはstatement（要求事項本文）、guidance（補足・採用根拠）、props、links（参照基準リソースへのUUIDリンク）で構成され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3.1 プロパティ（props）仕様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5050"/>
      </w:tblGrid>
      <w:tr>
        <w:trPr>
          <w:tblHeader/>
        </w:trPr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0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existing ／ gap-recommended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existing は原フレームワーク由来の管理策（54件）。gap-recommended は基準との突合により追加を推奨する管理策（初回ギャップ分析17件＋拡張精査136件）。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lineage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baseline ／ extended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出自。baseline=原フレームワーク＋初回ギャップ分析由来（71件）、extended=19基準精査による拡張（136件）。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control-type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AI-Expansion ／ AI-Enhancement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AI-Expansion: AI特有の新設管理策。AI-Enhancement: 既存セキュリティ管理策のAI文脈への拡張・強化（第5章参照）。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ai-scope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all ／ traditional-ai ／ generative-ai ／ ai-agent ／ multi-agent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適用対象のAI類型（カンマ区切り）。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mapping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class=標準キー、value=参照箇所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19基準への対応箇所。1コントロールに複数付与。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legacy-id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aimf-x.y.z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原Markdown文書の対策ID（継承71件のみ）。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superseded-id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AIMF-ID-ORG-001 等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v1.1でのAIMF-ID（GV移設8件のみ）。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4. 参照基準一覧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本カタログでは基準を2つの役割に区別しています。「マッピング対象」はギャップ判定の正式基準となる8基準、「参照ソース」はコントロールの導出・精査に用いた11文書です。いずれもprops(name="mapping")として同一形式でコントロールに付与され、back-matterのrole プロパティで役割を判別できます。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4.1 マッピング対象（8基準）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21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標準キー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策定組織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版・時点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aigl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AI事業者ガイドライン（第1.2版）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総務省・経済産業省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第1.2版（令和8年3月31日）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soumu-aisec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AIのセキュリティ確保のための技術的対策に係るガイドライン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総務省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第1.0版（令和8年3月27日）※LLM対象、AIエージェントは対象外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nist-ai-rmf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NIST AI RMF 1.0 + Generative AI Profile (NIST AI 600-1)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NIST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 RMF 1.0 (2023) / GenAI Profile (2024)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iso-42001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ISO/IEC 42001:2023 AIマネジメントシステム（AIMS）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ISO/IEC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ISO/IEC 42001:2023（箇条4〜10、附属書A A.2〜A.10）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owasp-aisvs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AI Security Verification Standard (AISVS)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Foundation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v1.0（2026年6月）14章構成 C01〜C14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csa-aicm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CSA AI Controls Matrix (AICM)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Cloud Security Alliance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AICM v1（CCM v4整合の18ドメイン）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eu-ai-act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EU AI Act（Regulation (EU) 2024/1689）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欧州連合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2024年8月発効／2026年8月より高リスクAI義務・第50条透明性義務の本格適用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ncsc-cisa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Guidelines for Secure AI System Development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英国NCSC・米国CISA等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2023年11月（Secure Design / Development / Deployment / Operation and Maintenanceの4フェーズ）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4.2 参照ソース（11文書）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21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標準キー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策定組織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版・時点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mitre-atlas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MITRE ATLAS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MITRE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随時更新のナレッジベース（戦術・技術・ケーススタディ）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enisa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ENISA AI Threat Landscape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ENISA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2024-2025年版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iso-23894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ISO/IEC 23894:2023 AIリスクマネジメント指針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ISO/IEC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ISO/IEC 23894:2023（ISO 31000ベース）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owasp-llm10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Top 10 for LLM Applications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GenAI Security Project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2025年版（v2.0）LLM01〜LLM10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owasp-asi10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Top 10 for Agentic Applications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OWASP GenAI Security Project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2026年版（2025年12月9日発表）ASI01〜ASI10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sans-aimm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SANS AI Maturity Model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SANS Institute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2024-2025年公開（成熟度評価フレームワーク）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digital-gl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地方公共団体における生成AIの利用ガイドライン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デジタル庁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改訂版（随時更新）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asd-agentic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Careful Adoption of Agentic AI Services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ASD ACSC・CISA・NSA・CCCS・NCSC-NZ・NCSC-UK（共同）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2026年5月1日公表。5つのリスクカテゴリ（特権／設計・構成／行動／構造／説明責任）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nist-800-63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NIST SP 800-63 Digital Identity Guidelines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NIST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Revision 4（2025年7〜8月最終版。63/63A/63B/63Cの4分冊）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cis-v81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CIS Critical Security Controls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Center for Internet Security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v8.1（18コントロール）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five-eyes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Five Eyes Cyber Security Agencies Statement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7"/>
                <w:szCs w:val="17"/>
              </w:rPr>
              <w:t xml:space="preserve">ACSC・CCCS・NCSC-NZ・NCSC-UK・CISA/NSA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2026年6月22日「The AI shift in cyber risk: why leaders must act now」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4.3 基準に関する重要な注意事項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総務省「AIのセキュリティ確保のための技術的対策に係るガイドライン」第1.0版はLLMおよびLLMを含むAIシステムが対象で、AIエージェントは対象外です。エージェント特有コントロールの同基準への未マッピングは仕様で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NIST SP 800-63の最新版はRevision 4（2025年7〜8月最終版）です。フィッシング耐性認証、同期可能認証器、ディープフェイク・インジェクション攻撃を想定した本人確認要件を含み、PR-IAM/PR-CAIカテゴリに反映しています。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「Careful Adoption of Agentic AI Services」（2026年5月1日）はASD ACSC・CISA・NSA・CCCS・NCSC-NZ・NCSC-UKの6機関共同ガイダンスで、特権／設計・構成／行動／構造／説明責任の5リスクカテゴリを定義します。エージェントAIは低リスク・非機微業務に限定し、広範・無制限なアクセスを付与しないことを中核的推奨としてい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Five Eyes Cyber Security Agencies Statement（2026年6月22日）は、フロンティアAIが攻防双方のサイバー能力を「年単位ではなく月単位」で変えるとし、経営レベルのリスク評価、基礎的統制（パッチ・アイデンティティ・インシデント対応）の優先、セキュリティリーダーへの権限・リソース付与を要請しています。GV-ORG/PR-CAI等に反映してい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OWASP Top 10 for Agentic Applications 2026（ASI01〜ASI10、2025年12月9日発表）とOWASP Top 10 for LLM Applications 2025（LLM01〜LLM10）は相互補完の関係にあり、エージェントシステムは両方の適用対象です。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EU AI Actの高リスクAI義務および第50条（AI生成コンテンツの表示）は2026年8月から本格適用されます。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5. control-type区分（AI-Expansion / AI-Enhancement）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全コントロールに、その管理策がAI特有の新設か、既存セキュリティの拡張かを示すcontrol-typeを付与しています。判定基準は「統制対象がAI固有のコンポーネント・振る舞い（モデル、プロンプト、RAG、エージェント、ハルシネーション等）であり、既存管理策の適用範囲拡大では成立しないか」です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代表例</w:t>
            </w:r>
          </w:p>
        </w:tc>
      </w:tr>
      <w:tr>
        <w:tc>
          <w:tcPr>
            <w:tcW w:type="dxa" w:w="2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AI-Expansion（108件）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AIによって新たに生じた統制対象に対する、AI特有の新設管理策。既存のISMS統制には対応物が存在しない。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ガードレール、AIレッドチーミング、モデルライフサイクル管理、エージェントID・ツールACL、ハルシネーション監視、キルスイッチ、機械的忘却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AI-Enhancement（99件）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既存のセキュリティ・ガバナンス管理策を、AIの文脈（AI資産への適用、AI由来脅威への対抗）に拡張・強化したもの。既存統制との統合実装が可能。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ネットワーク分離、暗号化、SBOM、フィッシング耐性MFA、SIEM統合、CSIRT拡張、教育、BCP/DR統合、ディープフェイク詐欺対策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実務上の活用方法は次のとおりです。AI-Enhancementに区分されたコントロールは、既存のISO/IEC 27001管理策やCIS Controls v8.1の実装を起点に差分を追補する形で導入コストを抑えられます。一方、AI-Expansionに区分されたコントロールは既存統制に対応物がないため、新規の設計・調達・体制整備が必要であり、ロードマップ上は導入リードタイムを長めに見積もるべき項目です。評価報告では、AI-Enhancementの未実装は「既存セキュリティ運用の適用漏れ」、AI-Expansionの未実装は「AI固有統制の未整備」として性質を区別して報告することを推奨します。</w:t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6. 拡張精査の設計解説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本フレームワークは19基準による精査を通じて136コントロールを追加し、手薄だった統治（GV: 14→36）、検知（DE: 8→32）、対応（RS: 6→20）を重点拡充しました。区分・カテゴリの主な設計判断は次のとおりです。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6.1 GV区分の本格化とカテゴリ移設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NIST CSF 2.0がGovernを独立機能とした構造に完全整合させるため、旧ID区分のORG（ガバナンス・組織体制、原1-1）とLGL（法規制、原1-4）をGV区分へ移設しました。その上で、方針・規程体系（GV-POL）を新設し、リスクマネジメント（リスク登録簿・受容基準・脅威主導評価・エージェント導入前評価）、監査・成熟度評価（SANS AIMM）、透明性（C2PA来歴表示・苦情窓口・対外開示）を拡充しています。Five Eyes声明が要請する経営レベルの関与（CAIO任命・予算確保・経営層ブリーフィング）もGV/PR-EDUに反映しました。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6.2 検知（DE）の運用実装力の強化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OWASP LLM Top 10とAgentic Top 10の脅威カテゴリを検知要件へ転換し、入出力監視（LLM01/02/07対応の検知）とエージェント監視（ASI01/02/06/08/10対応: 目標逸脱・ツール異常・メモリ改ざん・暴走・ローグエージェント検知）を体系化しました。加えてSOC統合（DE-SOC: SIEM統合・ATLASカバレッジ管理・ハンティング・検知有効性テスト）とログ証跡基盤（DE-LOG）を新設し、検知を「個別機能」から「運用可能なSOC能力」へ引き上げています。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6.3 対応（RS）の実効性強化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AI固有インシデントの分類基準・類型別プレイブック・机上演習・プロバイダー連携・停止判断権限を追加し、封じ込めにはモデルロールバック（ASDガイダンスの可逆性原則）・資格情報一括失効・汚染ソース検疫を追加しました。事後分析カテゴリ（RS-ANL）を新設し、原因のレイヤー切り分け・ATLASマッピング・防御への反映までをクローズドループ化してい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6.4 参照ソース別の主な反映点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ASD等「Careful Adoption of Agentic AI Services」: 5リスクカテゴリをPR-AGT（行動範囲定義・計画検証・信頼境界・セキュアベースライン）、GV-RSM（低リスク業務限定の導入評価）、RC-RES（可逆性・縮退運転）に展開。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OWASP Agentic Top 10（ASI01〜10）: PR-IAM（非人間ID・短命トークン・昇格禁止）、PR-AGT、DE-AGT、RS-CON（資格情報失効・メモリ検疫）に展開。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OWASP LLM Top 10: LLM05→出力の安全な取扱い、LLM06→過剰な自律性の制限、LLM07→システムプロンプト保護、LLM08→RAGコンテキスト検証・埋め込み異常検知、LLM10→リソース上限・コスト監視。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MITRE ATLAS: ID-THR（脅威モデリング・シナリオライブラリ）、PR-RED（TTPベース演習）、DE-SOC（検知カバレッジ管理）、RS-ANL（インシデントマッピング）。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NIST SP 800-63-4: PR-IAM（フィッシング耐性MFA）、PR-CAI（ディープフェイク詐欺を想定した本人確認・帯域外確認）、RS-CON（認証器の失効）。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CIS Controls v8.1: 資産（CIS 1・2）、データ保護（CIS 3）、セキュア設定（CIS 4）、アクセス制御（CIS 6）、脆弱性管理（CIS 7）、ログ（CIS 8）、監視（CIS 13）、教育（CIS 14）、IR（CIS 17）、ペネトレ（CIS 18）を各カテゴリのAI-Enhancementコントロールの実装基盤として参照。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Five Eyes声明（2026年6月）: 経営関与・基礎的統制の優先・パッチSLA短縮・レガシー管理・アタックサーフェス削減をGV-ORG/PR-VUL/PR-CAIに反映。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SANS AI Maturity Model・ISO/IEC 23894・ENISA・デジタル庁ガイドライン: 成熟度評価（GV-AUD）、リスクプロセス（GV-RSM）、脅威インテリジェンス（ID-THR）、生成AI利用細則（GV-POL）に反映。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6.5 原フレームワーク独自の強み（継続）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PR-CAI（対AI攻撃防御）はAIシステム自体の防御を対象とする多くのAI基準がカバーしない領域でしたが、NIST SP 800-63-4・CIS v8.1・Five Eyes声明という汎用セキュリティ側の基準を参照ソースに加えたことで、この領域にも根拠となるマッピングが付与されました。基準を先取りしていた設計が公的文書に追認された形であり、提案時の差別化ポイントとして引き続き有効で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7. 利用ガイド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7.1 基本的な参照方法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JSON版とYAML版は同一内容です。コントロールのパスは .catalog.groups[].groups[].controls[] （区分→カテゴリ→コントロール）です。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7.2 典型的なクエリ例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AI-Expansionコントロールのみを抽出（AI固有統制の未整備確認）: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jq '[.catalog.groups[].groups[].controls[] | select(.props[] |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  select(.name=="control-type" and .value=="AI-Expansion")) | {id, title}]' catalog.json</w:t>
      </w:r>
    </w:p>
    <w:p>
      <w:p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拡張（extended）で追加されたコントロールの一覧: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jq '[.catalog.groups[].groups[].controls[] | select(.props[] |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  select(.name=="lineage" and .value=="extended")) | .id]' catalog.json</w:t>
      </w:r>
    </w:p>
    <w:p>
      <w:p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特定基準（例: OWASP Agentic Top 10）に対応するコントロールと参照値: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jq '[.catalog.groups[].groups[].controls[] | . as $c | .props[] |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  select(.name=="mapping" and .class=="owasp-asi10") |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  {id: $c.id, ref: .value}]' catalog.json</w:t>
      </w:r>
    </w:p>
    <w:p>
      <w:p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旧ID（v1.1）から新IDを引く（移設8件の追跡）: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jq '.catalog.groups[].groups[].controls[] | select(.props[] |</w:t>
      </w:r>
    </w:p>
    <w:p>
      <w:pPr>
        <w:shd w:fill="F2F2F2" w:val="clear"/>
        <w:spacing w:after="60"/>
      </w:pPr>
      <w:r>
        <w:rPr>
          <w:rFonts w:ascii="Consolas" w:eastAsia="MS Gothic" w:hAnsi="Consolas"/>
          <w:sz w:val="18"/>
          <w:szCs w:val="18"/>
        </w:rPr>
        <w:t xml:space="preserve">  select(.name=="superseded-id" and .value=="AIMF-ID-ORG-001")) | .id' catalog.json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7.3 アセスメントへの適用手順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① スコープ決定: ai-scopeで対象AI類型のコントロールへ絞り込む。エージェント未導入の組織ではai-agent/multi-agent限定コントロール（約50件）を対象外にできる。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② 規制・基準の重み付け: 対象組織の必須基準（EU域内展開→eu-ai-act、ISO 42001認証→iso-42001等）のマッピングを持つコントロールを必須化する。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③ 段階適用: 207全件の一括評価は負荷が大きいため、lineage=baselineの71件をベースライン評価とし、拡張分（extended）はクリティカリティ（ID-CTX）に応じて段階適用する運用を推奨する。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④ 評価と報告: control-typeで未実装の性質（既存運用の適用漏れ／AI固有統制の未整備）を区別し、AI-Enhancementは既存ISMS統制への追補、AI-Expansionは新規整備としてロードマップ化する。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7.4 カスタマイズと細粒度化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業種・組織別の絞り込みはOSCAL Profile（import → include-controls）での加工を推奨します。マッピング粒度は章・カテゴリ・条文・リスク項目レベルです。評価証跡として要件番号レベル（AISVS v1.0-C9.4.3、AICMコントロールID、CIS Safeguard番号等）が必要な場合は、各基準原文を取り込んだ第2段階マッピングで詳細化してください。props構造は同一のままvalueを詳細化するだけで対応できます。</w:t>
      </w:r>
    </w:p>
    <w:p>
      <w:pPr>
        <w:pStyle w:val="Heading2"/>
        <w:spacing w:after="160" w:before="280"/>
      </w:pPr>
      <w:r>
        <w:rPr>
          <w:rFonts w:ascii="Yu Gothic" w:eastAsia="Yu Gothic" w:hAnsi="Yu Gothic"/>
        </w:rPr>
        <w:t xml:space="preserve">7.5 メンテナンス指針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改訂追随: OWASP各Top 10・AISVS・ATLASは改訂が活発であり、総務省ガイドラインはエージェント対応の追補が見込まれます。四半期での確認（RC-CIMの基準追随コントロールとして自らを統制）を推奨します。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バージョン管理: カタログ改訂時はmetadata.version・UUID・lineageの整合を確認し、ID変更時はsuperseded-idで追跡してください。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>スコープ判断: 公平性・バイアス、品質全般はセキュリティスコープ外としています。AIガバナンス全域への拡張時はAI事業者ガイドラインの公平性・人間中心系の指針に対応するカテゴリ追加を検討してください。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付録A. 収録コントロール一覧</w:t>
      </w:r>
    </w:p>
    <w:p>
      <w:pPr>
        <w:spacing w:after="160" w:line="300"/>
      </w:pPr>
      <w:r>
        <w:rPr>
          <w:rFonts w:ascii="Yu Gothic" w:eastAsia="Yu Gothic" w:hAnsi="Yu Gothic"/>
          <w:sz w:val="21"/>
          <w:szCs w:val="21"/>
        </w:rPr>
        <w:t xml:space="preserve">区分列: E=既存（v1.0原文書由来）、G=推奨追加（ギャップ・拡張）。Type列: Exp=AI-Expansion（緑網掛け）、Enh=AI-Enhancement。拡張（extended）行は黄網掛け。ai-scope: all=全類型、trad=従来型AI、gen=生成AI、agent=AIエージェント、multi=マルチエージェント。</w:t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GV. 統治（Govern）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GV-ORG: ガバナンス・組織体制の確立と文化の醸成（Organization）｜原1-1（IDから移設）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aimf-1.1.1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AIガバナンス委員会の設置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aimf-1.1.2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AI活用基本方針・ガイドラインの策定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aimf-1.1.3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AIリスクアセスメント・プロジェクト承認プロセスの構築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aimf-1.1.4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AIセキュリティ文化の醸成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aimf-1.1.5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AIセキュリティの社内コミュニケーション強化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AI統括責任者（CAIO/AIセキュリティ責任者）の任命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AIセキュリティ予算・リソースの確保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AIライフサイクル全体のRACI定義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AIMF-GV-ORG-009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AI倫理審査との連携プロセス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GV-POL: AI方針・規程体系（Policy Suite）【拡張新設】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AIMF-GV-POL-001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AIポリシースイートの体系化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AIMF-GV-POL-002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生成AI利用細則（入力禁止情報・プロンプト取扱規程）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AIMF-GV-POL-003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承認済みAIサービスカタログと例外管理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AIMF-GV-POL-004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AIサービス利用規約・提供条件の遵守管理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AIMF-GV-POL-005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ポリシーの技術進化への追随レビュー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GV-RSM: AIリスクマネジメント（Risk Management）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AIリスクマネジメントプロセスの体系化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AIシステム影響評価（AIIA）の実施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AIシステムのリスク分類・階層化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AIリスク登録簿の整備・維持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リスク受容基準と残存リスクの承認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脅威情報に基づくAIリスク評価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エージェントAI導入前の限定リスク評価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AIMF-GV-RSM-008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AIリスクKRIとエスカレーション閾値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GV-LGL: 法規制・コンプライアンス（Legal &amp; Compliance）｜原1-4（IDから移設）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AIMF-GV-LGL-001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aimf-1.4.1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AI法規制遵守の継続的確認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AIMF-GV-LGL-002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aimf-1.4.2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知的財産（著作権・特許）リスク評価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AIMF-GV-LGL-003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aimf-1.4.3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シャドーデータの徹底的なクレンジング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AIMF-GV-LGL-004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EU AI Act遵守プログラム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AIMF-GV-LGL-005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越境データ移転・域外適用の評価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GV-AUD: 監査・保証・成熟度評価（Audit &amp; Assurance）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AIMF-GV-AUD-001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aimf-gv-04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内部監査・マネジメントレビュー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AIMF-GV-AUD-002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AI固有の内部監査手続の整備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AIMF-GV-AUD-003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第三者認証・外部評価の取得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AIMF-GV-AUD-004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AIセキュリティ成熟度の定期評価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GV-TRA: 透明性・説明責任（Transparency &amp; Accountability）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AIMF-GV-TRA-001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aimf-gv-05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透明性・利用者への情報提供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AIMF-GV-TRA-002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aimf-gv-06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技術文書・モデルカードの整備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AIMF-GV-TRA-003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AI生成コンテンツの来歴表示（C2PA等）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AIMF-GV-TRA-004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利用者からの苦情・異議申立て窓口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AIMF-GV-TRA-005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対外的なAIガバナンス開示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ID. 特定（Identify）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ID-AST: AI資産・コンテキスト・インフラの可視化と棚卸し（Asset Management）｜原1-2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aimf-1.2.1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AIモデル・サービス管理台帳の整備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aimf-1.2.2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RAG知識ベース・データソースの棚卸し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aimf-1.2.3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AIエージェントの権限・ツールトポロジー管理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aimf-1.2.4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AIインフラ資産（GPU・計算リソース・ストレージ）の棚卸し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プロンプト・システムプロンプト資産の台帳管理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AIデータフローマッピング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シャドーAI・未承認利用の継続的検出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AIMF-ID-AST-008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エンドポイントAI機能・ブラウザ拡張の把握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ID-CTX: ユースケース・事業コンテキスト管理（Business Context）【拡張新設】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AIMF-ID-CTX-001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AIユースケース登録と事業オーナーの明確化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AIMF-ID-CTX-002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ユースケースのクリティカリティ判定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AIMF-ID-CTX-003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AI障害時の業務影響分析（BIA）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AIMF-ID-CTX-004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非AI代替手段の維持判断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ID-SCM: サプライチェーンリスク管理（Supply Chain Management）｜原1-3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aimf-1.3.1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AIセキュリティのベンダー評価と管理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aimf-1.3.2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SBOMの自動生成・継続的管理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aimf-1.3.3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AI-BOMによるAI特有資産の管理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モデル・データセット供給元の来歴検証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MCPサーバー・プラグイン・エージェントツールの事前審査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AIサービスの集中リスク評価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AI調達契約のセキュリティ・責任分界条項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AIMF-ID-SCM-008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オープンウェイトモデル利用時の評価基準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ID-DGV: データガバナンス（Data Governance）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AIMF-ID-DGV-001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aimf-1.5.1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学習・チューニングデータのガバナンス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AIMF-ID-DGV-002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データ分類とAI利用可否ラベル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AIMF-ID-DGV-003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学習・RAGデータの来歴（プロビナンス）記録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AIMF-ID-DGV-004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合成データの生成・利用統制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AIMF-ID-DGV-005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データ保持・削除ポリシーのAIパイプライン適用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ID-THR: AI脅威分析・脅威インテリジェンス（Threat Analysis）【拡張新設】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AIMF-ID-THR-001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MITRE ATLASに基づくAI脅威モデリング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AIMF-ID-THR-002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エージェントシステムのアタックサーフェス分析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AIMF-ID-THR-003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AI脅威インテリジェンスの収集・共有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AIMF-ID-THR-004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AI脅威シナリオライブラリの整備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PR. 防御（Protect）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PR-VUL: 迅速な脆弱性対応・リスク判断フロー（Vulnerability Management）｜原2-1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AIMF-PR-VUL-001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aimf-2.1.1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脆弱性トリアージ自動化プロセス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AIMF-PR-VUL-002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aimf-2.1.2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IaCによる迅速な脆弱性適用基盤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AIMF-PR-VUL-003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aimf-2.1.3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コンテナイメージの自動パッチ適用パイプライン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AIMF-PR-VUL-004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仮想パッチ・緩和策の適用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AIMF-PR-VUL-005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EOL・レガシーAIコンポーネントの管理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PR-INF: AIインフラ・ネットワークの要塞化（Infrastructure Hardening）｜原2-2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aimf-2.2.1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AIネットワーク環境の閉域化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aimf-2.2.2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コンテナ・オーケストレーション基盤の堅牢化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aimf-2.2.3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ストレージ・データの暗号化（データ・アット・レスト）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GPU・アクセラレータのマルチテナント分離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推論エンドポイント・モデルAPIの保護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開発・学習環境と本番環境の分離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AIMF-PR-INF-007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AIリソース設定のセキュリティベースライン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PR-IAM: アイデンティティ・アクセス制御（Identity &amp; Access Management）｜原2-3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aimf-2.3.1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RAGデータアクセス権（ACL）の同期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aimf-2.3.2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AIエージェントへの最小権限原則の適用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aimf-2.3.3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AIクレデンシャル・APIキーの暗号化管理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フィッシング耐性MFAの適用（AI管理者・特権）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エージェント・サービスアカウントのライフサイクル管理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短命トークン・タスクバウンド認可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動的な権限昇格の禁止とJITアクセス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AIMF-PR-IAM-008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AIプラットフォームのRBAC/ABAC設計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PR-DAT: AIデータ保護（Data Protection）【拡張新設】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AIMF-PR-DAT-001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プロンプト・出力へのDLP統制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AIMF-PR-DAT-002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学習・RAG投入前の仮名化・匿名化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AIMF-PR-DAT-003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出力データへの機密区分の継承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AIMF-PR-DAT-004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モデル重み・チェックポイントの厳格アクセス管理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AIMF-PR-DAT-005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機密コンピューティングによる推論保護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PR-MDL: モデルライフサイクル・成果物完全性（Model Lifecycle &amp; Integrity）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モデルライフサイクル管理・リリース前評価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モデル成果物の完全性保護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セキュア学習パイプラインの統制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モデルレジストリ統制（承認済みモデルのみデプロイ）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ファインチューニング・継続学習の変更管理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量子化・蒸留・最適化後の安全性再評価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AIMF-PR-MDL-007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システムプロンプトの版管理と保護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PR-RED: プロアクティブなリスク評価・実戦演習（Red Teaming &amp; Assessment）｜原2-4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aimf-2.4.1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AIレッドチーミングの定期的実施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aimf-2.4.2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自動化されたAI脆弱性スキャン（LLM-assisted Red Teaming）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aimf-2.4.3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RAG知識ベースの動的スキャン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リリース前の安全性・セキュリティ評価スイート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CI/CDへの継続的評価（eval）の組み込み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AIMF-PR-RED-006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ATLASベースの敵対的演習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PR-GRD: ガードレール・出力統制（Guardrails &amp; Output Handling）｜原2-5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aimf-2.5.1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多層インライン・ガードレール（入出力フィルタ）の実装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aimf-2.5.2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AIエージェント実行環境の隔離（サンドボックス化）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aimf-2.5.3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Human-in-the-Loopのシステム強制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出力の安全な取扱い（Improper Output Handling対策）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構造化出力・スキーマ検証の強制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過剰な自律性（Excessive Agency）の制限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RAGコンテキストの検証と出典の強制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AIMF-PR-GRD-008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リソース消費上限の強制（Unbounded Consumption対策）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PR-AGT: エージェント・ツール接続セキュリティ（Agent &amp; Tool Security）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aimf-2.8.4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エージェントID管理・相互認証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aimf-2.8.5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MCP等ツール接続プロトコルのセキュリティ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aimf-2.8.6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エージェントメモリ（長期記憶）の保護と汚染対策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最小エージェンシー原則（行動範囲・目標境界の定義）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ツールACLマトリクスによる呼出可否管理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タスク計画の事前検証と逸脱制御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エージェント生成コードの実行統制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委任チェーン・エージェント間信頼境界の設計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AIMF-PR-AGT-009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エージェント設定のセキュアベースライン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AIMF-PR-AGT-010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オーケストレーターの単一障害点・乗っ取り対策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PR-HOV: 人間による監督（Human Oversight）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AIMF-PR-HOV-001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aimf-2.8.7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人間による監督（Human Oversight）の全体設計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AIMF-PR-HOV-002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監督者の力量要件と自動化バイアス対策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AIMF-PR-HOV-003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人間・エージェント間の信頼悪用対策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PR-ADV: 敵対的堅牢性（Adversarial Robustness）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AIMF-PR-ADV-001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aimf-2.8.2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従来型ML特有の敵対的攻撃対策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AIMF-PR-ADV-002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モデル抽出・スティーリング対策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AIMF-PR-ADV-003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メンバーシップ推論・モデル反転対策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AIMF-PR-ADV-004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回避攻撃（敵対的サンプル）対策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PR-CAI: AI時代に対応する既存セキュリティの強化（Counter-AI Attacks）｜原2-6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aimf-2.6.1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フィッシング・標的型攻撃対策の高度化（対AI攻撃）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aimf-2.6.2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MFAにおける生体・音声認証の見直し（対ディープフェイク）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aimf-2.6.3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AI前提のパスワードレス認証・セキュアコーディング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ディープフェイク詐欺対策の業務プロセス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AI生成フィッシング対策とメール認証の強化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アタックサーフェス削減とゼロトラスト移行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AIMF-PR-CAI-007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AI加速攻撃を想定したパッチSLAの短縮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PR-EDU: 層別AIセキュリティ教育（Education）｜原2-7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AIMF-PR-EDU-001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aimf-2.7.1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層別AIセキュリティ教育の徹底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AIMF-PR-EDU-002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開発者向けセキュアAI開発研修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AIMF-PR-EDU-003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AI生成ソーシャルエンジニアリング対応訓練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AIMF-PR-EDU-004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経営層向けAIサイバーリスクブリーフィング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DE. 検知（Detect）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DE-VUL: サプライチェーン脆弱性の継続的・動的検知（Vulnerability Detection）｜原3-1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AIMF-DE-VUL-001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aimf-3.1.1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SBOM/AI-BOMの継続的脆弱性スキャン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AIMF-DE-VUL-002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悪性パッケージ・依存関係侵害の検知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AIMF-DE-VUL-003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モデルレジストリ・リポジトリの改ざん検知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DE-IOM: 意味論・入出力監視（Input/Output Monitoring）｜原3-2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aimf-3.2.1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セマンティック・アノマリー検知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aimf-3.2.2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LLM監査ログ（プロンプト・レスポンス）の一元記録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aimf-3.2.3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ハルシネーション・信頼度の動的監視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プロンプトインジェクション検知ルールの管理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脱獄・ポリシー回避試行のスコアリング検知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出力へのPII・機微情報混入検知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システムプロンプト漏えい・プローブの検知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AIMF-DE-IOM-008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利用者行動分析（UEBA）によるAI悪用検知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DE-AGT: エージェント挙動・ツール実行の動的監視（Agent Monitoring）｜原3-3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aimf-3.3.1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エージェント状態遷移・思考プロセスの可視化監視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aimf-3.3.2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エージェント間通信の相互セキュリティスキャン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ツール呼出の異常検知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目標逸脱（ゴールドリフト）の検知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暴走・連鎖障害の予兆検知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エージェントメモリ・コンテキスト改ざんの検知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AIMF-DE-AGT-007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ローグエージェント（逸脱挙動）の検知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DE-HLT: インフラ・データ・モデルの健全性監視（Health Monitoring）｜原3-4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aimf-3.4.1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AIインフラ構成監査とリソース監視（DoS検知）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aimf-3.4.2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データポイズニング・ドリフトの監視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gen,trad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モデル性能・品質劣化の継続監視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埋め込み空間・ベクトルDBの異常検知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GPUリソースの不正利用検知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AIMF-DE-HLT-006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AI利用コスト・トークン消費の異常監視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DE-SOC: SOC統合・検知運用（SOC Integration）【拡張新設】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AIMF-DE-SOC-001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AIテレメトリのSIEM統合と相関分析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AIMF-DE-SOC-002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ATLAS対応の検知ルールカバレッジ管理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AIMF-DE-SOC-003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AIアラートのトリアージ基準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AIMF-DE-SOC-004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AI環境の脅威ハンティング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AIMF-DE-SOC-005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検知有効性の定期テスト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DE-LOG: ログ・証跡基盤（Logging &amp; Evidence）【拡張新設】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AIMF-DE-LOG-001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AIコンポーネント横断のログ標準化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AIMF-DE-LOG-002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ログの完全性保護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AIMF-DE-LOG-003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ログ保持とプライバシーの両立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RS. 対応（Respond）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RS-IRP: インシデントレスポンス体制の拡張と自動化（Incident Response Planning）｜原4-1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aimf-4.1.1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CSIRTのAI拡張とプレイブック整備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aimf-4.1.2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セキュリティ運用の自動化（SOAR）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aimf-4.1.3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動的レートリミットと攻撃主体の自動隔離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AI固有インシデントの分類・重大度基準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AIインシデント対応プレイブック群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AIシナリオの机上演習・実地訓練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プロバイダーとのインシデント連携体制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AIMF-RS-IRP-008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インシデント時のサービス停止判断権限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RS-CON: 封じ込め・隔離（Containment）｜原4-2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AIMF-RS-CON-001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aimf-4.2.1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AIエージェントのキルスイッチ実装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AIMF-RS-CON-002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aimf-4.2.2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インフラ通信・データアクセスの即時遮断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AIMF-RS-CON-003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侵害モデルのロールバック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AIMF-RS-CON-004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エージェント資格情報の即時失効・一括ローテーション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agent,multi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AIMF-RS-CON-005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汚染RAGソース・メモリの隔離・検疫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gen,agent,multi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RS-RPT: 外部報告・ステークホルダー通知（Reporting）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AIMF-RS-RPT-001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aimf-4.3.1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インシデントの外部報告・ステークホルダー通知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AIMF-RS-RPT-002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個人情報漏えい等の当局報告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AIMF-RS-RPT-003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顧客・利用者への通知計画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AIMF-RS-RPT-004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開示・広報対応の判断基準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RS-ANL: インシデント事後分析（Post-incident Analysis）【拡張新設】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AIMF-RS-ANL-001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AI固有の根本原因分析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AIMF-RS-ANL-002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インシデントのATLASマッピング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AIMF-RS-ANL-003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分析結果の防御・検知への反映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Yu Gothic" w:eastAsia="Yu Gothic" w:hAnsi="Yu Gothic"/>
        </w:rPr>
        <w:t xml:space="preserve">RC. 復旧（Recover）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00"/>
        <w:gridCol w:w="3250"/>
        <w:gridCol w:w="550"/>
        <w:gridCol w:w="750"/>
        <w:gridCol w:w="1700"/>
      </w:tblGrid>
      <w:tr>
        <w:trPr>
          <w:tblHeader/>
        </w:trPr>
        <w:tc>
          <w:tcPr>
            <w:tcW w:type="dxa" w:w="1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原文書ID</w:t>
            </w:r>
          </w:p>
        </w:tc>
        <w:tc>
          <w:tcPr>
            <w:tcW w:type="dxa" w:w="3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コントロール名</w:t>
            </w:r>
          </w:p>
        </w:tc>
        <w:tc>
          <w:tcPr>
            <w:tcW w:type="dxa" w:w="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ai-scope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RC-RES: レジリエンスの最大化（Resilience）｜原5-1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aimf-5.1.1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CI/CD連動のゼロタッチ・パッチ適用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aimf-5.1.2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RAG知識ベース・インフラ構成の高速復元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aimf-5.1.3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AI説明責任のためのフォレンジック体制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クリーンデータからのモデル再構築手順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trad,gen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代替モデル・プロバイダーへのフェイルオーバー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AI停止時の縮退運転手順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AIMF-RC-RES-007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AIシステムのBCP・DR統合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RC-CIM: 継続的改善（Continuous Improvement）｜原5-2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aimf-5.2.1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AIセキュリティKPIの設定と評価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aimf-5.2.2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ベストプラクティス・教訓のドキュメント化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aimf-5.2.3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AIセキュリティのトレンド分析と将来予測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aimf-5.2.4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セキュリティメトリクスによる定期ガバナンスレビュー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E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教訓の防御機構への自動反映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AIMF-RC-CIM-006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参照基準・脅威情報の改訂追随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 w:val="false"/>
                <w:bCs w:val="false"/>
                <w:sz w:val="15"/>
                <w:szCs w:val="15"/>
              </w:rPr>
              <w:t xml:space="preserve">Enh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RC-DCM: モデル・データの安全な廃棄（Decommission）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AIMF-RC-DCM-001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aimf-5.3.1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モデル・データの安全な廃棄（デコミッション）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AIMF-RC-DCM-002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—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データ削除・機械的忘却（Unlearning）の実施と検証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9300"/>
            <w:gridSpan w:val="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7"/>
                <w:szCs w:val="17"/>
              </w:rPr>
              <w:t xml:space="preserve">RC-PMM: 市販後モニタリング（Post-market Monitoring）</w:t>
            </w:r>
          </w:p>
        </w:tc>
      </w:tr>
      <w:tr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AIMF-RC-PMM-001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aimf-5.3.2</w:t>
            </w:r>
          </w:p>
        </w:tc>
        <w:tc>
          <w:tcPr>
            <w:tcW w:type="dxa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市販後モニタリング計画（Post-market Monitoring）</w:t>
            </w:r>
          </w:p>
        </w:tc>
        <w:tc>
          <w:tcPr>
            <w:tcW w:type="dxa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6"/>
                <w:szCs w:val="16"/>
              </w:rPr>
              <w:t xml:space="preserve">G</w:t>
            </w:r>
          </w:p>
        </w:tc>
        <w:tc>
          <w:tcPr>
            <w:tcW w:type="dxa" w:w="75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5"/>
                <w:szCs w:val="15"/>
              </w:rPr>
              <w:t xml:space="preserve">Exp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5"/>
                <w:szCs w:val="15"/>
              </w:rPr>
              <w:t xml:space="preserve">all</w:t>
            </w:r>
          </w:p>
        </w:tc>
      </w:tr>
    </w:tbl>
    <w:p>
      <w:pPr>
        <w:spacing w:after="6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付録B. バージョン履歴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5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時期</w:t>
            </w:r>
          </w:p>
        </w:tc>
        <w:tc>
          <w:tcPr>
            <w:tcW w:type="dxa" w:w="6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変更内容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内部ドラフト1.0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2026年7月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原Markdownフレームワーク（54対策）をOSCAL化し、8基準とのマッピングとギャップ分析（推奨17件）を実施。計71コントロール。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内部ドラフト1.1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2026年7月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ID体系をAIMF-&lt;区分&gt;-&lt;カテゴリ3文字&gt;-&lt;NNN&gt;へ改訂。legacy-id保持、新旧ID対応CSVを追加。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内部ドラフト2.0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2026年7月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参照ソース11文書による精査で136コントロールを追加し計207件。ORG/LGLカテゴリをGVへ移設。control-type・lineageを付与。カテゴリを37に拡張。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0.1.0-beta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2026年7月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初のパブリックリリース（β版）。内部ドラフト2.0を基点にバージョン体系をv0.1へ再設定し、GitHubで公開。フィードバックに基づく破壊的変更の可能性を明示。</w:t>
            </w:r>
          </w:p>
        </w:tc>
      </w:tr>
    </w:tbl>
    <w:p>
      <w:pPr>
        <w:spacing w:after="100" w:line="30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Yu Gothic" w:eastAsia="Yu Gothic" w:hAnsi="Yu Gothic"/>
        </w:rPr>
        <w:t xml:space="preserve">付録C. 用語集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OSCAL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NISTが策定したセキュリティ管理策の機械可読表現規格。Catalog・Profile・Assessment Plan/Results等のモデルで構成。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AI-Expansion / AI-Enhancement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本フレームワークのcontrol-type区分。前者はAI特有の新設管理策、後者は既存セキュリティ管理策のAI文脈への拡張・強化（第5章参照）。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ASI01〜ASI10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OWASP Top 10 for Agentic Applications 2026のリスク識別子（ゴールハイジャック、ツール誤用、ID・特権悪用、エージェントサプライチェーン、予期しないコード実行、メモリ・コンテキストポイズニング、安全でないエージェント間通信、連鎖障害、人間・エージェント間の信頼悪用、ローグエージェント）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LLM01〜LLM10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OWASP Top 10 for LLM Applications 2025のリスク識別子（プロンプトインジェクション、機微情報漏えい、サプライチェーン、データ・モデルポイズニング、不適切な出力処理、過剰なエージェンシー、システムプロンプト漏えい、ベクトル・埋め込みの弱点、誤情報、無制限の消費）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MITRE ATLAS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AIシステムに対する攻撃者の戦術・技術（TTP）を体系化したナレッジベース。ATT&amp;CKのAI特化版。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最小エージェンシー（Least Agency）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エージェントに付与する目標・行動範囲・権限・自律性を業務要件の最小限に絞る設計原則。最小権限のエージェント版。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可逆性（Reversibility）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エージェントAIの行動を取り消し・切り戻し可能に設計する原則。ASD等の共同ガイダンスが効率より優先すべきとする。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市販後モニタリング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提供開始後のAIシステムの性能・インシデント傾向を体系的に収集・分析する活動。EU AI Act第72条が計画策定を要求。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機械的忘却（Unlearning）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学習済みモデルから特定データの影響を除去する技術。削除要求への対応手段の一つ。</w:t>
            </w:r>
          </w:p>
        </w:tc>
      </w:tr>
    </w:tbl>
    <w:sectPr>
      <w:pgSz w:w="11906" w:h="16838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  <w:lvl w:ilvl="1" w15:tentative="1">
      <w:start w:val="1"/>
      <w:numFmt w:val="bullet"/>
      <w:lvlText w:val="◦"/>
      <w:lvlJc w:val="star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Yu Gothic" w:eastAsia="Yu Gothic" w:hAnsi="Yu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Yu Gothic" w:eastAsia="Yu Gothic" w:hAnsi="Yu Gothic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Yu Gothic" w:eastAsia="Yu Gothic" w:hAnsi="Yu Gothic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2026-07-17T04:07:34.216Z</dcterms:created>
  <dcterms:modified xsi:type="dcterms:W3CDTF">2026-07-17T04:07:34.216Z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