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间隔器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tick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2000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"2s--timeId--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$timer_id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</w:pPr>
      <w:r>
        <w:rPr>
          <w:rFonts w:hint="eastAsia" w:ascii="Consolas" w:hAnsi="Consolas" w:eastAsia="Consolas" w:cs="Consolas"/>
          <w:b/>
          <w:bCs/>
          <w:i/>
          <w:iCs/>
          <w:color w:val="A6E22E"/>
          <w:sz w:val="28"/>
          <w:szCs w:val="28"/>
          <w:shd w:val="clear" w:fill="272822"/>
          <w:lang w:val="en-US" w:eastAsia="zh-CN"/>
        </w:rPr>
        <w:t>闹钟器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Swoole\Timer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::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after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5000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,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()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use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($server, $frame){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"5s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$server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($frame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fd,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"time after"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bookmarkStart w:id="0" w:name="_GoBack"/>
      <w:bookmarkEnd w:id="0"/>
    </w:p>
    <w:p>
      <w:pP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定时器是异步的，与task是一样的                                               </w:t>
      </w:r>
    </w:p>
    <w:p>
      <w:pPr>
        <w:rPr>
          <w:rFonts w:hint="default" w:ascii="Consolas" w:hAnsi="Consolas" w:eastAsia="Consolas" w:cs="Consolas"/>
          <w:color w:val="F9267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D7D"/>
    <w:rsid w:val="015127DE"/>
    <w:rsid w:val="053755DE"/>
    <w:rsid w:val="05584C67"/>
    <w:rsid w:val="056A0682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B254C8"/>
    <w:rsid w:val="131C2445"/>
    <w:rsid w:val="13764900"/>
    <w:rsid w:val="15081614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573282"/>
    <w:rsid w:val="1CCD0A73"/>
    <w:rsid w:val="1CCD602B"/>
    <w:rsid w:val="1DE95C06"/>
    <w:rsid w:val="1E034A53"/>
    <w:rsid w:val="1EBC2D56"/>
    <w:rsid w:val="1EDD11F5"/>
    <w:rsid w:val="1F131D29"/>
    <w:rsid w:val="1F2112D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5875D27"/>
    <w:rsid w:val="26AE3492"/>
    <w:rsid w:val="26F024C4"/>
    <w:rsid w:val="27040B43"/>
    <w:rsid w:val="2854406E"/>
    <w:rsid w:val="291F001C"/>
    <w:rsid w:val="29303E0D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1B21779"/>
    <w:rsid w:val="32FE079C"/>
    <w:rsid w:val="33095061"/>
    <w:rsid w:val="33284140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B06EAA"/>
    <w:rsid w:val="3CE17E18"/>
    <w:rsid w:val="3D53141C"/>
    <w:rsid w:val="3D984662"/>
    <w:rsid w:val="3E155786"/>
    <w:rsid w:val="3F9C2561"/>
    <w:rsid w:val="3FB8007F"/>
    <w:rsid w:val="3FCA0EFF"/>
    <w:rsid w:val="422F520F"/>
    <w:rsid w:val="42F10921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F26677"/>
    <w:rsid w:val="54CD5EFC"/>
    <w:rsid w:val="54FD45C8"/>
    <w:rsid w:val="570058AD"/>
    <w:rsid w:val="570C31C1"/>
    <w:rsid w:val="578B0A36"/>
    <w:rsid w:val="58AA450B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601D6955"/>
    <w:rsid w:val="61733DAE"/>
    <w:rsid w:val="64C554CF"/>
    <w:rsid w:val="65CF729B"/>
    <w:rsid w:val="6616102A"/>
    <w:rsid w:val="66AA64BA"/>
    <w:rsid w:val="66AD223E"/>
    <w:rsid w:val="66F15A4B"/>
    <w:rsid w:val="67235036"/>
    <w:rsid w:val="67D64CBE"/>
    <w:rsid w:val="68214B8D"/>
    <w:rsid w:val="685838DA"/>
    <w:rsid w:val="688422C2"/>
    <w:rsid w:val="68DC747B"/>
    <w:rsid w:val="69454339"/>
    <w:rsid w:val="69F4333A"/>
    <w:rsid w:val="6A2128E1"/>
    <w:rsid w:val="6BEC0BAD"/>
    <w:rsid w:val="6C3D5E75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BD52A6"/>
    <w:rsid w:val="7BDB2D80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2020-02-08T07:01:24Z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