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Моделирование приёмки и размещения палет на складе</w:t>
      </w:r>
    </w:p>
    <w:p>
      <w:pPr>
        <w:widowControl/>
      </w:pPr>
      <w:r>
        <w:rPr>
          <w:b/>
        </w:rPr>
        <w:t xml:space="preserve">1 Объект и проблема. </w:t>
      </w:r>
      <w:r>
        <w:t>При неравномерном поступлении палет нагрузка на участки приёмки и размещения изменяется. Недостаток работников вызывает накопление товара перед соответствующим участком. Скопления занимают рабочее пространство и увеличивают время обработки. Цель — сократить очереди и время обработки имеющимися ресурсами.</w:t>
      </w:r>
    </w:p>
    <w:p>
      <w:pPr>
        <w:widowControl/>
      </w:pPr>
      <w:r>
        <w:rPr>
          <w:b/>
        </w:rPr>
        <w:t xml:space="preserve">2 Заинтересованные стороны. </w:t>
      </w:r>
      <w:r>
        <w:t>Управляющий заинтересован в выполнении объёма работ, сотрудники — в равномерной загрузке и сокращении перегрузок и простоев.</w:t>
      </w:r>
    </w:p>
    <w:p>
      <w:pPr>
        <w:widowControl/>
      </w:pPr>
      <w:r>
        <w:rPr>
          <w:b/>
        </w:rPr>
        <w:t xml:space="preserve">3 Решение. </w:t>
      </w:r>
      <w:r>
        <w:t>Сравниваются шесть специалистов с постоянным закреплением за участками (2/4, 3/3, 4/2) и шесть универсалов с перераспределением. Универсал переходит после завершения операции, если очередь другого участка превышает очередь текущего более чем на k палет; на исходном участке остаётся минимум один работник. Решения о переводах выполняются последовательно.</w:t>
      </w:r>
    </w:p>
    <w:p>
      <w:pPr>
        <w:widowControl/>
      </w:pPr>
      <w:r>
        <w:rPr>
          <w:b/>
        </w:rPr>
        <w:t xml:space="preserve">4 Вопрос. </w:t>
      </w:r>
      <w:r>
        <w:t>Как специализация и перераспределение универсалов при различной интенсивности поступлений влияют на время обработки, максимальную очередь и остаток незавершённой работы?</w:t>
      </w:r>
    </w:p>
    <w:p>
      <w:pPr>
        <w:widowControl/>
      </w:pPr>
      <w:r>
        <w:rPr>
          <w:b/>
        </w:rPr>
        <w:t xml:space="preserve">5 Границы. </w:t>
      </w:r>
      <w:r>
        <w:t>От поступления палеты в зону приёмки до подтверждения ячейки хранения в ИС. Внутри: очереди, операции, работники и регистрация данных. Внешние условия: поступления, характеристики товара и график смены. Доставка, разгрузка и выдача исключены.</w:t>
      </w:r>
    </w:p>
    <w:p>
      <w:pPr>
        <w:widowControl/>
      </w:pPr>
      <w:r>
        <w:rPr>
          <w:b/>
        </w:rPr>
        <w:t xml:space="preserve">6 Схема. </w:t>
      </w:r>
      <w:r>
        <w:t>Поступление, очередь на приёмку, проверка и регистрация, очередь на размещение, задание, перемещение, подтверждение ячейки. Граница и точки измерения показаны в приложении А.</w:t>
      </w:r>
    </w:p>
    <w:p>
      <w:pPr>
        <w:keepNext/>
      </w:pPr>
      <w:r>
        <w:rPr>
          <w:b/>
        </w:rPr>
        <w:t>7 Словарь величин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1757"/>
        <w:gridCol w:w="2891"/>
      </w:tblGrid>
      <w:tr>
        <w:trPr>
          <w:tblHeader/>
        </w:trPr>
        <w:tc>
          <w:tcPr>
            <w:tcW w:type="dxa" w:w="47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3"/>
          </w:tcPr>
          <w:p>
            <w:pPr>
              <w:spacing w:after="20" w:before="20"/>
              <w:jc w:val="left"/>
            </w:pPr>
            <w:r>
              <w:rPr>
                <w:b/>
                <w:sz w:val="22"/>
              </w:rPr>
              <w:t>Величина и единица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3"/>
          </w:tcPr>
          <w:p>
            <w:pPr>
              <w:spacing w:after="20" w:before="20"/>
              <w:jc w:val="left"/>
            </w:pPr>
            <w:r>
              <w:rPr>
                <w:b/>
                <w:sz w:val="22"/>
              </w:rPr>
              <w:t>Роль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3"/>
          </w:tcPr>
          <w:p>
            <w:pPr>
              <w:spacing w:after="20" w:before="20"/>
              <w:jc w:val="left"/>
            </w:pPr>
            <w:r>
              <w:rPr>
                <w:b/>
                <w:sz w:val="22"/>
              </w:rPr>
              <w:t>Источник</w:t>
            </w:r>
          </w:p>
        </w:tc>
      </w:tr>
      <w:tr>
        <w:tc>
          <w:tcPr>
            <w:tcW w:type="dxa" w:w="47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/>
              <w:jc w:val="left"/>
            </w:pPr>
            <w:r>
              <w:rPr>
                <w:b w:val="0"/>
                <w:sz w:val="22"/>
              </w:rPr>
              <w:t>aᵢ — поступление, мин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/>
              <w:jc w:val="left"/>
            </w:pPr>
            <w:r>
              <w:rPr>
                <w:b w:val="0"/>
                <w:sz w:val="22"/>
              </w:rPr>
              <w:t>Вход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/>
              <w:jc w:val="left"/>
            </w:pPr>
            <w:r>
              <w:rPr>
                <w:b w:val="0"/>
                <w:sz w:val="22"/>
              </w:rPr>
              <w:t>Журнал поступлений</w:t>
            </w:r>
          </w:p>
        </w:tc>
      </w:tr>
      <w:tr>
        <w:tc>
          <w:tcPr>
            <w:tcW w:type="dxa" w:w="47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/>
              <w:jc w:val="left"/>
            </w:pPr>
            <w:r>
              <w:rPr>
                <w:b w:val="0"/>
                <w:sz w:val="22"/>
              </w:rPr>
              <w:t>sᵢпр, sᵢразм — длительности, мин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/>
              <w:jc w:val="left"/>
            </w:pPr>
            <w:r>
              <w:rPr>
                <w:b w:val="0"/>
                <w:sz w:val="22"/>
              </w:rPr>
              <w:t>Вход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/>
              <w:jc w:val="left"/>
            </w:pPr>
            <w:r>
              <w:rPr>
                <w:b w:val="0"/>
                <w:sz w:val="22"/>
              </w:rPr>
              <w:t>Наблюдения, ИС; по квалификации</w:t>
            </w:r>
          </w:p>
        </w:tc>
      </w:tr>
      <w:tr>
        <w:tc>
          <w:tcPr>
            <w:tcW w:type="dxa" w:w="47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/>
              <w:jc w:val="left"/>
            </w:pPr>
            <w:r>
              <w:rPr>
                <w:b w:val="0"/>
                <w:sz w:val="22"/>
              </w:rPr>
              <w:t>Qпр(t), Qразм(t) — очередь, палет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/>
              <w:jc w:val="left"/>
            </w:pPr>
            <w:r>
              <w:rPr>
                <w:b w:val="0"/>
                <w:sz w:val="22"/>
              </w:rPr>
              <w:t>Состояние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/>
              <w:jc w:val="left"/>
            </w:pPr>
            <w:r>
              <w:rPr>
                <w:b w:val="0"/>
                <w:sz w:val="22"/>
              </w:rPr>
              <w:t>События модели</w:t>
            </w:r>
          </w:p>
        </w:tc>
      </w:tr>
      <w:tr>
        <w:tc>
          <w:tcPr>
            <w:tcW w:type="dxa" w:w="47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/>
              <w:jc w:val="left"/>
            </w:pPr>
            <w:r>
              <w:rPr>
                <w:b w:val="0"/>
                <w:sz w:val="22"/>
              </w:rPr>
              <w:t>cпр(t), cразм(t) — работники, чел.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/>
              <w:jc w:val="left"/>
            </w:pPr>
            <w:r>
              <w:rPr>
                <w:b w:val="0"/>
                <w:sz w:val="22"/>
              </w:rPr>
              <w:t>Управление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/>
              <w:jc w:val="left"/>
            </w:pPr>
            <w:r>
              <w:rPr>
                <w:b w:val="0"/>
                <w:sz w:val="22"/>
              </w:rPr>
              <w:t>Сценарий; сумма равна 6</w:t>
            </w:r>
          </w:p>
        </w:tc>
      </w:tr>
      <w:tr>
        <w:tc>
          <w:tcPr>
            <w:tcW w:type="dxa" w:w="47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/>
              <w:jc w:val="left"/>
            </w:pPr>
            <w:r>
              <w:rPr>
                <w:b w:val="0"/>
                <w:sz w:val="22"/>
              </w:rPr>
              <w:t>k — порог перевода, палет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/>
              <w:jc w:val="left"/>
            </w:pPr>
            <w:r>
              <w:rPr>
                <w:b w:val="0"/>
                <w:sz w:val="22"/>
              </w:rPr>
              <w:t>Управление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/>
              <w:jc w:val="left"/>
            </w:pPr>
            <w:r>
              <w:rPr>
                <w:b w:val="0"/>
                <w:sz w:val="22"/>
              </w:rPr>
              <w:t>Сценарий; k &gt; 0</w:t>
            </w:r>
          </w:p>
        </w:tc>
      </w:tr>
      <w:tr>
        <w:tc>
          <w:tcPr>
            <w:tcW w:type="dxa" w:w="47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/>
              <w:jc w:val="left"/>
            </w:pPr>
            <w:r>
              <w:rPr>
                <w:b w:val="0"/>
                <w:sz w:val="22"/>
              </w:rPr>
              <w:t>Квалификация — категория, без единицы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/>
              <w:jc w:val="left"/>
            </w:pPr>
            <w:r>
              <w:rPr>
                <w:b w:val="0"/>
                <w:sz w:val="22"/>
              </w:rPr>
              <w:t>Параметр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/>
              <w:jc w:val="left"/>
            </w:pPr>
            <w:r>
              <w:rPr>
                <w:b w:val="0"/>
                <w:sz w:val="22"/>
              </w:rPr>
              <w:t>Сведения об обучении</w:t>
            </w:r>
          </w:p>
        </w:tc>
      </w:tr>
      <w:tr>
        <w:tc>
          <w:tcPr>
            <w:tcW w:type="dxa" w:w="470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/>
              <w:jc w:val="left"/>
            </w:pPr>
            <w:r>
              <w:rPr>
                <w:b w:val="0"/>
                <w:sz w:val="22"/>
              </w:rPr>
              <w:t>Tᵢ — полное время, мин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/>
              <w:jc w:val="left"/>
            </w:pPr>
            <w:r>
              <w:rPr>
                <w:b w:val="0"/>
                <w:sz w:val="22"/>
              </w:rPr>
              <w:t>Выход</w:t>
            </w:r>
          </w:p>
        </w:tc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/>
              <w:jc w:val="left"/>
            </w:pPr>
            <w:r>
              <w:rPr>
                <w:b w:val="0"/>
                <w:sz w:val="22"/>
              </w:rPr>
              <w:t>Метки поступления и завершения</w:t>
            </w:r>
          </w:p>
        </w:tc>
      </w:tr>
    </w:tbl>
    <w:p>
      <w:r>
        <w:br w:type="page"/>
      </w:r>
    </w:p>
    <w:p>
      <w:pPr>
        <w:widowControl/>
      </w:pPr>
      <w:r>
        <w:rPr>
          <w:b/>
        </w:rPr>
        <w:t xml:space="preserve">8 Показатели результата. </w:t>
      </w:r>
      <w:r>
        <w:t>Все KPI минимизируются. T̄ = Σ(t₁,ᵢ − aᵢ)/N — среднее полное время для всех N палет смены; t₁,ᵢ — подтверждение размещения. Qmax = max₀≤t≤H[Qпр(t) + Qразм(t)] — максимальная суммарная очередь. Nнезав = Nпост(H) − Nразм(H) — остаток к концу смены H, включая палеты в обработке. Среднее скрывает отдельные длительные задержки, поэтому оценивается совместно с очередью и остатком.</w:t>
      </w:r>
    </w:p>
    <w:p>
      <w:pPr>
        <w:widowControl/>
      </w:pPr>
      <w:r>
        <w:rPr>
          <w:b/>
        </w:rPr>
        <w:t xml:space="preserve">Правило окончания эксперимента. </w:t>
      </w:r>
      <w:r>
        <w:t>В момент H фиксируется остаток и прекращаются поступления. Для расчёта T̄ все палеты доводятся до завершения при прежнем числе работников и правиле распределения; продолжение не входит в Qmax за смену. Оно является техническим условием расчёта, а не рекомендацией сверхурочной работы.</w:t>
      </w:r>
    </w:p>
    <w:p>
      <w:pPr>
        <w:widowControl/>
      </w:pPr>
      <w:r>
        <w:rPr>
          <w:b/>
        </w:rPr>
        <w:t xml:space="preserve">9 Допущения. </w:t>
      </w:r>
      <w:r>
        <w:t>Палета неделима; иначе изменятся операции и единицы учёта. Старт без очередей; начальный остаток увеличит нагрузку. Ячейки доступны, техника и ИС исправны; нехватка мест и сбои увеличат задержки. Длительные расхождения с поставщиком исключены; их наличие увеличит время обработки. Переводы считаются мгновенными; существенное время перехода снизит пользу перераспределения. Очереди обслуживаются по поступлению; приоритеты изменят ожидание отдельных палет.</w:t>
      </w:r>
    </w:p>
    <w:p>
      <w:pPr>
        <w:widowControl/>
      </w:pPr>
      <w:r>
        <w:rPr>
          <w:b/>
        </w:rPr>
        <w:t xml:space="preserve">10 Варианты модели. </w:t>
      </w:r>
      <w:r>
        <w:t>Агрегированная динамическая модель оценивает накопление по интервалам: нужны поступления и производительность, но сглаживаются отдельные события. Дискретно-событийная модель отслеживает палеты и занятость работников: нужны времена событий и длительности операций, маршруты учитываются упрощённо. Выбрана вторая модель, позволяющая непосредственно вычислить KPI. Сначала скорости операций одинаковы, затем варьируется предполагаемое преимущество специалистов. Во всех сценариях поток и график одинаковы. Развитие — автоматизация регистрации сканированием кодов.</w:t>
      </w:r>
    </w:p>
    <w:p>
      <w:pPr>
        <w:widowControl/>
      </w:pPr>
      <w:r>
        <w:rPr>
          <w:b/>
        </w:rPr>
        <w:t xml:space="preserve">11 Проверка. </w:t>
      </w:r>
      <w:r>
        <w:t>Логика: 10 палет без новых поступлений должны завершить обе операции; проверяются баланс палет, неотрицательные очереди и отсутствие двойной занятости. Согласие: KPI и динамика очередей сравниваются с независимыми сменами, не использованными при настройке. При случайных длительностях нужны повторные прогоны. Допустимые отклонения задаются до сравнения; без наблюдений проверяется только логика.</w:t>
      </w:r>
    </w:p>
    <w:p>
      <w:pPr>
        <w:widowControl/>
      </w:pPr>
      <w:r>
        <w:rPr>
          <w:b/>
        </w:rPr>
        <w:t xml:space="preserve">12 Ограничения. </w:t>
      </w:r>
      <w:r>
        <w:t>Условные данные дают учебные выводы. Не оцениваются выдача, безопасность проходов, физическая нагрузка и окупаемость. Планировка отражена временем размещения. Выводы действуют для исследованных условий; реальные журналы пока отсутствуют.</w:t>
      </w:r>
    </w:p>
    <w:p>
      <w:r>
        <w:br w:type="page"/>
      </w:r>
    </w:p>
    <w:p>
      <w:pPr>
        <w:pStyle w:val="Title"/>
        <w:jc w:val="center"/>
      </w:pPr>
      <w:r>
        <w:t>Приложение А Схема процесса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760000" cy="8378182"/>
            <wp:docPr id="1" name="Picture 1" descr="Рисунок А.1 — Границы процесса и точки измере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37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Рисунок А.1 — Границы процесса и точки измерения</w:t>
      </w:r>
    </w:p>
    <w:p>
      <w:r>
        <w:br w:type="page"/>
      </w:r>
    </w:p>
    <w:p>
      <w:pPr>
        <w:pStyle w:val="Title"/>
        <w:jc w:val="center"/>
      </w:pPr>
      <w:r>
        <w:t>Приложение Б Ментальная карта</w:t>
      </w:r>
    </w:p>
    <w:p>
      <w:pPr>
        <w:spacing w:after="40"/>
      </w:pPr>
      <w:r>
        <w:drawing>
          <wp:inline xmlns:a="http://schemas.openxmlformats.org/drawingml/2006/main" xmlns:pic="http://schemas.openxmlformats.org/drawingml/2006/picture">
            <wp:extent cx="5940000" cy="7992000"/>
            <wp:docPr id="2" name="Picture 2" descr="Рисунок Б.1 — Постановка задачи моделировани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9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2"/>
        </w:rPr>
        <w:t>Рисунок Б.1 — Постановка задачи моделирования</w:t>
      </w:r>
    </w:p>
    <w:sectPr w:rsidR="00FC693F" w:rsidRPr="0006063C" w:rsidSect="00034616">
      <w:headerReference w:type="default" r:id="rId11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60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Моделирование приёмки и размещения палет на складе</dc:title>
  <dc:subject>Практическая работа 1 по моделям информационных процессов и систем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