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D92D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До центральних органів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відносяться кістковий мозок та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тимус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7847532F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Локалізація кісткового мозку – губчата речовина губчатих та плоских кісток, а також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діафізів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трубчатих кісток. </w:t>
      </w:r>
    </w:p>
    <w:p w14:paraId="634F28FC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Консистенція кісткового мозку – напіврідка (з кісткового мозку виготовляють як зрізи, так і мазки). </w:t>
      </w:r>
    </w:p>
    <w:p w14:paraId="6EE42F93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Маса червоного кісткового мозку у дорослої людини – 1200-1500 г. </w:t>
      </w:r>
    </w:p>
    <w:p w14:paraId="4302070C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Гемопоетична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тканина представлена двома компонентами: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гемальним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гемопоетичні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клітини) 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стромальним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3FD53FE2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90%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поліпотентних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стовбурових клітин у кістковому мозку знаходяться у стані спокою і лише 10% цих клітин активно діляться та забезпечують нормальний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7300A9D9" w14:textId="77777777" w:rsidR="00315595" w:rsidRPr="00315595" w:rsidRDefault="00315595" w:rsidP="003155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Стимуляція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відбувається завдяки: </w:t>
      </w:r>
    </w:p>
    <w:p w14:paraId="7B80E77C" w14:textId="77777777" w:rsidR="00315595" w:rsidRPr="00315595" w:rsidRDefault="00315595" w:rsidP="003155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Речовинам, які синтезуються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мікрооточенням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гемопоетичних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колонієстимулюючі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фактори); </w:t>
      </w:r>
    </w:p>
    <w:p w14:paraId="1B3D716A" w14:textId="77777777" w:rsidR="00315595" w:rsidRPr="00315595" w:rsidRDefault="00315595" w:rsidP="003155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Гормонам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еритропоетин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тироксин, соматотропний гормон) </w:t>
      </w:r>
    </w:p>
    <w:p w14:paraId="1F34C29B" w14:textId="77777777" w:rsidR="00315595" w:rsidRPr="00315595" w:rsidRDefault="00315595" w:rsidP="0031559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Пригнічення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відбувається завдяки: </w:t>
      </w:r>
    </w:p>
    <w:p w14:paraId="461A78A5" w14:textId="77777777" w:rsidR="00315595" w:rsidRPr="00315595" w:rsidRDefault="00315595" w:rsidP="003155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Продуктам зрілих клітин крові; </w:t>
      </w:r>
    </w:p>
    <w:p w14:paraId="00931E99" w14:textId="77777777" w:rsidR="00315595" w:rsidRPr="00315595" w:rsidRDefault="00315595" w:rsidP="003155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Тканинним гормонам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простагландини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інтерферон) </w:t>
      </w:r>
    </w:p>
    <w:p w14:paraId="27098017" w14:textId="77777777" w:rsidR="00315595" w:rsidRPr="00315595" w:rsidRDefault="00315595" w:rsidP="003155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Глюкокортикоїдам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3283C827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 червоному кістковому мозку відбуваються всі стадії дозрівання еритроцитів, гранулоцитів, моноцитів, тромбоцитів, В-лімфоцитів, а також утворення попередників Т-лімфоцитів. </w:t>
      </w:r>
    </w:p>
    <w:p w14:paraId="04A23E53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Локалізація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тимусу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за грудиною. </w:t>
      </w:r>
    </w:p>
    <w:p w14:paraId="5F3DB02F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Максимальна маса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тимусу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35-40 г. (у підлітків 14-15 років). </w:t>
      </w:r>
    </w:p>
    <w:p w14:paraId="5C9CDBD8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тимусі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завершується дозрівання Т-лімфоцитів та відбувається їх проліферація. </w:t>
      </w:r>
    </w:p>
    <w:p w14:paraId="08AACAAF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Периферичні органи кровотворення включають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лімфоїдні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утворення слизових оболонок, лімфатичні вузли, селезінку. </w:t>
      </w:r>
    </w:p>
    <w:p w14:paraId="1B2E4D8E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 периферичних органах кровотворення відбувається генерація імунної відповіді на контакт лімфоцитів з антигеном. </w:t>
      </w:r>
    </w:p>
    <w:p w14:paraId="5A61F9FB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Лейкоцити поділяються на гранулоцити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нейтрофіли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еоінофіли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базофіли) та агранулоцити (лімфоцити, моноцити). </w:t>
      </w:r>
    </w:p>
    <w:p w14:paraId="7BBFF144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Основна функція гранулоцитів – фагоцитоз. </w:t>
      </w:r>
    </w:p>
    <w:p w14:paraId="0D97AACD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Основні функції агранулоцитів – забезпечення гуморального та клітинного імунітету. </w:t>
      </w:r>
    </w:p>
    <w:p w14:paraId="0E803FEF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Мієлопоез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це утворення всіх формених елементів крові, крім лімфоцитів. 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sym w:font="Symbol" w:char="F0D8"/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Лімфопоез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це утворення лімфоцитів (В- і Т-клітин). </w:t>
      </w:r>
    </w:p>
    <w:p w14:paraId="692175E9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Відповідно до числа формених елементів крові виділяють 6 напрямків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та 2 напрямки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43B54D6D" w14:textId="77777777" w:rsidR="00315595" w:rsidRPr="00315595" w:rsidRDefault="00315595" w:rsidP="003155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 кожному з напрямків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диференцировки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виділяють 6 класів клітин: </w:t>
      </w:r>
    </w:p>
    <w:p w14:paraId="1D682A0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 xml:space="preserve">I. стовбурові клітини: діляться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рідко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поліпотентні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- можуть давати початок всім форменим елементам крові; можуть потрапляти в периферичну кров і після циркуляції знов осідати в кістковому мозку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репопуляція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); морфологічно схожі на малі лімфоцити; можуть самовідновлюватися - частина клітин ідентична батьківським; здатні утворювати колонії. </w:t>
      </w:r>
    </w:p>
    <w:p w14:paraId="40207FA5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II.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напівстовбурові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клітини (КУО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колонієутворюючі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одиниці):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комітіровані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(частково детерміновані) – можливості подальших перетворень обмежені;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олігопотентні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можуть бути попередниками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або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тобто диференціюватися по двом та більше напрямкам; чутливі до стимуляторів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(регулятори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мієлопоезу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еритропоетин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лейкопоетин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тромбопоетин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 морфологічно схожі на малі лімфоцити; можуть самовідновлюватися - частина клітин ідентична батьківським; здатні утворювати колонії. </w:t>
      </w:r>
    </w:p>
    <w:p w14:paraId="39CDAC84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III.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уніпотентні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клітини (КУО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колонієутворюючі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одиниці); можуть диференціюватися лише в одному напрямку; морфологічно схожі на малі лімфоцити; можуть самовідновлюватися - частина клітин ідентична батьківським; здатні утворювати колонії. </w:t>
      </w:r>
    </w:p>
    <w:p w14:paraId="22601A0C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IV.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: від клітин I-III класів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відрізняються тим, що мають більший розмір, світліші ядро та цитоплазму, містять продукти специфічного синтезу; Між собою морфологічно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не відрізняються; При подальшому діленні виникають лише більш диференційовані клітини; Клітини, що подібні батьківським (тобто власне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 не відновлюються. </w:t>
      </w:r>
    </w:p>
    <w:p w14:paraId="5BD40CE2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V. клітини, що дозрівають: представлені кількома проміжними формами; кожна проміжна форма може бути морфологічно ідентифікована; </w:t>
      </w:r>
    </w:p>
    <w:p w14:paraId="70FF21BA" w14:textId="640BA945" w:rsid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VI. зрілі клітини: не діляться (за деякими виключеннями); мають специфічні функції.</w:t>
      </w:r>
      <w:r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br/>
      </w:r>
    </w:p>
    <w:p w14:paraId="2E69B5D4" w14:textId="7A234B3A" w:rsid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</w:pPr>
      <w:r w:rsidRPr="00315595">
        <w:rPr>
          <w:rFonts w:ascii="Segoe UI" w:hAnsi="Segoe UI" w:cs="Segoe UI"/>
          <w:b/>
          <w:bCs/>
          <w:color w:val="1D2125"/>
          <w:sz w:val="23"/>
          <w:szCs w:val="23"/>
          <w:shd w:val="clear" w:color="auto" w:fill="FFFFFF"/>
          <w:lang w:val="uk-UA"/>
        </w:rPr>
        <w:t>Гостра лейкемія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– це злоякісна пухлина кровотворної тканини, морфологічним субстратом якої є незрілі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бластні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клітини – недиференційовані або мало диференційовані.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Гострі лейкемії підрозділяють на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лімфобластні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нелімфобластні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(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мієлобластні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). Етіологія, патогенез та основні клінічні прояви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лімфобластних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мієлобластних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лейкемій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суттєво не відрізняються. Тому ці питання будуть висвітлені разом. Головні відмінності полягають у даних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цитоморфологічного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, цитохімічного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цитоімунного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аналізу та різних підходах до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hyperlink r:id="rId5" w:tooltip="ЛІКУВАННЯ" w:history="1">
        <w:r w:rsidRPr="00315595">
          <w:rPr>
            <w:rStyle w:val="a3"/>
            <w:rFonts w:ascii="Segoe UI" w:hAnsi="Segoe UI" w:cs="Segoe UI"/>
            <w:color w:val="1E7D00"/>
            <w:sz w:val="23"/>
            <w:szCs w:val="23"/>
            <w:shd w:val="clear" w:color="auto" w:fill="FFFFFF"/>
            <w:lang w:val="uk-UA"/>
          </w:rPr>
          <w:t>лікування</w:t>
        </w:r>
      </w:hyperlink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цих видів гострих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лейкемій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 w:rsidRPr="00315595">
        <w:rPr>
          <w:rFonts w:ascii="Segoe UI" w:hAnsi="Segoe UI" w:cs="Segoe UI"/>
          <w:b/>
          <w:bCs/>
          <w:color w:val="1D2125"/>
          <w:sz w:val="23"/>
          <w:szCs w:val="23"/>
          <w:shd w:val="clear" w:color="auto" w:fill="FFFFFF"/>
          <w:lang w:val="uk-UA"/>
        </w:rPr>
        <w:t>Етіологія гострих лейкемії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a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 Іонізуюча радіація: Променева терапія; Техногенні катастрофи на об’єктах атомної енергетики.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b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 Хімічні речовини: Бензол, пестициди, інсектициди, тютюновий дим; Фарби, розчинники, що містять хлор; Лікарські засоби (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хлорамбуцил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,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циклофосфамід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та ін.).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c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. Вірусна інфекція: Вірус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Епштейна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-Бара;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Ретровірус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HTLV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d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. Генетичні дефекти та хромосомні аномалії.</w:t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br/>
      </w:r>
      <w:r w:rsidRPr="00315595">
        <w:rPr>
          <w:rFonts w:ascii="Segoe UI" w:hAnsi="Segoe UI" w:cs="Segoe UI"/>
          <w:color w:val="1D2125"/>
          <w:sz w:val="23"/>
          <w:szCs w:val="23"/>
          <w:lang w:val="uk-UA"/>
        </w:rPr>
        <w:lastRenderedPageBreak/>
        <w:br/>
      </w:r>
      <w:r w:rsidRPr="00315595">
        <w:rPr>
          <w:rFonts w:ascii="Segoe UI" w:hAnsi="Segoe UI" w:cs="Segoe UI"/>
          <w:b/>
          <w:bCs/>
          <w:color w:val="1D2125"/>
          <w:sz w:val="23"/>
          <w:szCs w:val="23"/>
          <w:shd w:val="clear" w:color="auto" w:fill="FFFFFF"/>
          <w:lang w:val="uk-UA"/>
        </w:rPr>
        <w:t>Патогенез гострих лейкозів</w:t>
      </w:r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. Під впливом етіологічних факторів відбуваються соматичні мутації клітин-попередниць кровотворної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>лімфоїдної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uk-UA"/>
        </w:rPr>
        <w:t xml:space="preserve"> тканин.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Цьому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сприяють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процеси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порушення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імунологічного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захисту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організму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порушення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апоптозу (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запрограмованої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клітинної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смерті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). Перший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етап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формування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лейкозів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починається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з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мутації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родоначальної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, яка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набуває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здатності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швидко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проліферувати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.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,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які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утворюються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внаслідок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такої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проліферації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вважаються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клоном. На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етапі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формування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першого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клону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пухлини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зберігають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здатність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до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диференціювання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(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доброякісне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пухлинне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зростання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).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Втім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, з часом, в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клітинах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первинного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лейкозного клону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відбуваються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численні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мутації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. В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результаті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клітини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вторинного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лейкозного клону не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лише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активно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проліферують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, але й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втрачають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здатність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до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диференціювання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(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злоякісне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пухлинне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зростання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).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Проліферація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лейкозних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клітин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в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кістковому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мозку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,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лейкозна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інфільтрація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органів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та тканин,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аутоімунні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та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інфекціно-запальні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ускладнення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формують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клінічну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картину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гострих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анемій</w:t>
      </w:r>
      <w:proofErr w:type="spellEnd"/>
      <w:r w:rsidRPr="00315595">
        <w:rPr>
          <w:rFonts w:ascii="Segoe UI" w:hAnsi="Segoe UI" w:cs="Segoe UI"/>
          <w:color w:val="1D2125"/>
          <w:sz w:val="23"/>
          <w:szCs w:val="23"/>
          <w:shd w:val="clear" w:color="auto" w:fill="FFFFFF"/>
          <w:lang w:val="ru-RU"/>
        </w:rPr>
        <w:t>.</w:t>
      </w:r>
    </w:p>
    <w:p w14:paraId="7521595A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Морфологічна FAB (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French-American-British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) класифікація гострої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мієлобластної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лейкемії.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1B6DB640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з недиференційованими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бластними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клітинами. </w:t>
      </w:r>
    </w:p>
    <w:p w14:paraId="5AF58619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М1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без ознак дозрівання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1826468D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М2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з ознаками дозрівання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0F6D3E0E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М3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промієлоцитарна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лейкемія. </w:t>
      </w:r>
    </w:p>
    <w:p w14:paraId="6CF266B7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М4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мієломоноцитарна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лейкемія. </w:t>
      </w:r>
    </w:p>
    <w:p w14:paraId="2A5B6D33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М5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моноцитарна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лейкемія. </w:t>
      </w:r>
    </w:p>
    <w:p w14:paraId="1078F49A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М6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еритролейкемія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0B4C7ED5" w14:textId="77777777" w:rsidR="00315595" w:rsidRPr="00315595" w:rsidRDefault="00315595" w:rsidP="003155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М7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мегакаріобластна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лейкемія. </w:t>
      </w:r>
    </w:p>
    <w:p w14:paraId="10AA5E6A" w14:textId="77777777" w:rsidR="00315595" w:rsidRPr="00315595" w:rsidRDefault="00315595" w:rsidP="00315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val="uk-UA" w:eastAsia="uk-UA"/>
        </w:rPr>
        <w:t>Морфологічна FAB (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val="uk-UA" w:eastAsia="uk-UA"/>
        </w:rPr>
        <w:t>French-American-British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val="uk-UA" w:eastAsia="uk-UA"/>
        </w:rPr>
        <w:t xml:space="preserve">) класифікація гострої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val="uk-UA" w:eastAsia="uk-UA"/>
        </w:rPr>
        <w:t>лімфобластної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val="uk-UA" w:eastAsia="uk-UA"/>
        </w:rPr>
        <w:t xml:space="preserve"> лейкемії. </w:t>
      </w:r>
    </w:p>
    <w:p w14:paraId="72F4C25A" w14:textId="77777777" w:rsidR="00315595" w:rsidRPr="00315595" w:rsidRDefault="00315595" w:rsidP="003155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L1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з малими розмірами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(частіше у дітей). </w:t>
      </w:r>
    </w:p>
    <w:p w14:paraId="32D0D93A" w14:textId="77777777" w:rsidR="00315595" w:rsidRPr="00315595" w:rsidRDefault="00315595" w:rsidP="003155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L2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з великими розмірами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(частіше у дорослих). </w:t>
      </w:r>
    </w:p>
    <w:p w14:paraId="112A5A85" w14:textId="77777777" w:rsidR="00315595" w:rsidRPr="00315595" w:rsidRDefault="00315595" w:rsidP="003155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L3 – гостра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лейкемія з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бластними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клітинами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типа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 при лімфомі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Беркіта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</w:t>
      </w:r>
    </w:p>
    <w:p w14:paraId="78E0D77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Клінічна картина гострих лейкозів. </w:t>
      </w:r>
    </w:p>
    <w:p w14:paraId="64B63F00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Стадії гострого лейкозу: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3E9BD651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Передлейкоз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7B79A9CE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Початковий період. </w:t>
      </w:r>
    </w:p>
    <w:p w14:paraId="05742F83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Період повного розвитку захворювання (розгорнутий). </w:t>
      </w:r>
    </w:p>
    <w:p w14:paraId="554F68D0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Період ремісії (зникнення клінічної симптоматики, нормалізація показників периферичної крові та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мієлограми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). </w:t>
      </w:r>
    </w:p>
    <w:p w14:paraId="6274E48D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>Період загострення (рецидив). </w:t>
      </w:r>
    </w:p>
    <w:p w14:paraId="3970F221" w14:textId="77777777" w:rsidR="00315595" w:rsidRPr="00315595" w:rsidRDefault="00315595" w:rsidP="003155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Термінальний період. </w:t>
      </w:r>
    </w:p>
    <w:p w14:paraId="3D05ADF6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Клінічні «маски» гострої лейкемії в початковому періоді.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1DEF8545" w14:textId="77777777" w:rsidR="00315595" w:rsidRPr="00315595" w:rsidRDefault="00315595" w:rsidP="0031559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Інфекційно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-токсична. </w:t>
      </w:r>
    </w:p>
    <w:p w14:paraId="08D865D0" w14:textId="77777777" w:rsidR="00315595" w:rsidRPr="00315595" w:rsidRDefault="00315595" w:rsidP="0031559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Пухлинна. </w:t>
      </w:r>
    </w:p>
    <w:p w14:paraId="70C68373" w14:textId="77777777" w:rsidR="00315595" w:rsidRPr="00315595" w:rsidRDefault="00315595" w:rsidP="0031559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Кістково-суглобна. </w:t>
      </w:r>
    </w:p>
    <w:p w14:paraId="0AADB709" w14:textId="77777777" w:rsidR="00315595" w:rsidRPr="00315595" w:rsidRDefault="00315595" w:rsidP="0031559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Кардіальна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4553893E" w14:textId="77777777" w:rsidR="00315595" w:rsidRPr="00315595" w:rsidRDefault="00315595" w:rsidP="0031559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Анемічна. </w:t>
      </w:r>
    </w:p>
    <w:p w14:paraId="30C4F979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Клінічна картина гострої лейкемії у розгорнутому періоді: </w:t>
      </w:r>
    </w:p>
    <w:p w14:paraId="0FA36AA8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1. 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Гіперпластичний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синдром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(зумовлений лейкозною інфільтрацією тканин): </w:t>
      </w:r>
    </w:p>
    <w:p w14:paraId="0B3F5E64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Лімфопластичний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синдром – збільшення лімфатичних вузлів, піднебінних мигдалин. </w:t>
      </w:r>
    </w:p>
    <w:p w14:paraId="1914CE04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Гепатолієнальний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синдром – збільшення печінки та селезінки. </w:t>
      </w:r>
    </w:p>
    <w:p w14:paraId="4E301EF5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Кістково-суглобовий синдром – біль та болісність кісток та суглобів. </w:t>
      </w:r>
    </w:p>
    <w:p w14:paraId="27207CFD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Виразково-нектотичний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синдром – стоматити,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гінгівіти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тонзиліти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2467C38A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Нейролейкоз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вогнищеві неврологічні порушення, психічні розлади. </w:t>
      </w:r>
    </w:p>
    <w:p w14:paraId="3BC53F81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сечостатевої системи – збільшення і ущільнення яєчок, збільшення яєчників,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приапізм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порушення сечовипускання, можливі гематурія, маткові кровотечі. </w:t>
      </w:r>
    </w:p>
    <w:p w14:paraId="1921FE73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органів травлення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дисфагія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та обструкція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стравохіду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ознаки пептичної язви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шлунка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обструкції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шлунка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некротизуючого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ентероколіту. </w:t>
      </w:r>
    </w:p>
    <w:p w14:paraId="482B394D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нирок – протеїнурія,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мікрогематурія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лейкоцитурія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ознаки гострої ниркової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недостатністі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3D42094D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легень – кашель, кровохаркання, задишка,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дрібнопухирчасті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хрипи, ознаки дихальної недостатності. </w:t>
      </w:r>
    </w:p>
    <w:p w14:paraId="296BB002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Ураження серця – ознаки міокардиту, ексудативного перикардиту, аритмії. </w:t>
      </w:r>
    </w:p>
    <w:p w14:paraId="234BF8D2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ендокринної системи – можливі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гіпопітуітаризм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гіпокортицизм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цукровий діабет. </w:t>
      </w:r>
    </w:p>
    <w:p w14:paraId="34955DB1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Ураження очей – біль, світлобоязнь, сльозотеча, зниження гостроти зору. </w:t>
      </w:r>
    </w:p>
    <w:p w14:paraId="61381B20" w14:textId="77777777" w:rsidR="00315595" w:rsidRPr="00315595" w:rsidRDefault="00315595" w:rsidP="003155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Ураження шкіри – поява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лейкемідів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– щільних інфільтратів (вузлів) різного кольору, які часто супроводжуються свербінням. </w:t>
      </w:r>
    </w:p>
    <w:p w14:paraId="407593EF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2. </w:t>
      </w: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Геморагічний синдром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(зумовлений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тромбоцитопенією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підвищенням проникності судин, порушенням коагуляції): </w:t>
      </w:r>
    </w:p>
    <w:p w14:paraId="79B91495" w14:textId="77777777" w:rsidR="00315595" w:rsidRPr="00315595" w:rsidRDefault="00315595" w:rsidP="0031559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Великі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внутрішкірні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крововиливи, носові, шлункові, кишкові, ниркові, легеневі, маткові,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внутрішньоцеребральні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кровотечі. </w:t>
      </w:r>
    </w:p>
    <w:p w14:paraId="4C57936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3. </w:t>
      </w: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Анемічний синдром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(зумовлений зменшенням кількості клітин червоного кровотворного паростку): </w:t>
      </w:r>
    </w:p>
    <w:p w14:paraId="56BE0F29" w14:textId="77777777" w:rsidR="00315595" w:rsidRPr="00315595" w:rsidRDefault="00315595" w:rsidP="0031559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>Загальна слабість, запаморочення, шум у вухах, потемніння в очах, мелькання метеликів перед очима, серцебиття та задишка, блідість шкіри, тахікардія, екстрасистолія, приглушеність тонів серця, систолічний шум на вертушці, неспецифічні зміни ЕКГ. Виразність анемії корелює зі ступенем проліферації лейкозних клітин в кістковому мозку. </w:t>
      </w:r>
    </w:p>
    <w:p w14:paraId="54587BB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4. </w:t>
      </w: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Інтоксикаційний синдром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(зумовлений підвищеним розпадом лейкозних клітин). </w:t>
      </w:r>
    </w:p>
    <w:p w14:paraId="618E59C4" w14:textId="77777777" w:rsidR="00315595" w:rsidRPr="00315595" w:rsidRDefault="00315595" w:rsidP="0031559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Загальна слабість, підвищена втомлюваність, сонливість, збіднення емоцій, зниження апетиту, зниження маси тіла, нудота, блювота, головний біль, висока температура тіла (непластична лихорадка), пітливість (особливо вночі). </w:t>
      </w:r>
    </w:p>
    <w:p w14:paraId="2D16A8F1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5. 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Імунодефіцитний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синдром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(зумовлений різким порушенням клітинного та гуморального імунітету внаслідок функціональної неповноцінності лейкоцитів). </w:t>
      </w:r>
    </w:p>
    <w:p w14:paraId="595BFF3D" w14:textId="77777777" w:rsidR="00315595" w:rsidRPr="00315595" w:rsidRDefault="00315595" w:rsidP="0031559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Ангіни, пневмонії та будь-які інші інфекції (бактеріальні, вірусні, грибкові).</w:t>
      </w:r>
    </w:p>
    <w:p w14:paraId="5B752751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Клінічні особливості гострого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лімфобластного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лейкозу: </w:t>
      </w:r>
    </w:p>
    <w:p w14:paraId="38724663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частіше хворіють діти; </w:t>
      </w:r>
    </w:p>
    <w:p w14:paraId="13031664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перебіг захворювання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помірно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прогресуючий; </w:t>
      </w:r>
    </w:p>
    <w:p w14:paraId="787EA64F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частіше виникають шкіряні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лейкеміди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; </w:t>
      </w:r>
    </w:p>
    <w:p w14:paraId="2DBF1671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частіше збільшуються лімфовузли;</w:t>
      </w:r>
    </w:p>
    <w:p w14:paraId="16CCBCB4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частіше розвивається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нейролейкемія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; </w:t>
      </w:r>
    </w:p>
    <w:p w14:paraId="476FFC17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частіше виникає лейкозна інфільтрація яєчок; </w:t>
      </w:r>
    </w:p>
    <w:p w14:paraId="2E26C8C3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більша частота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оссалгій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; </w:t>
      </w:r>
    </w:p>
    <w:p w14:paraId="20F0A27B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дуже характерний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гіпертермічний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синдром; </w:t>
      </w:r>
    </w:p>
    <w:p w14:paraId="4A9600A8" w14:textId="77777777" w:rsidR="00315595" w:rsidRPr="00315595" w:rsidRDefault="00315595" w:rsidP="0031559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ефективність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цитостатичної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терапії вища ніж при інших лейкозах. </w:t>
      </w:r>
    </w:p>
    <w:p w14:paraId="77A3FACE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Клінічні особливості гострого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нелімфобластного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(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мієлобластного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) лейкозу:</w:t>
      </w:r>
    </w:p>
    <w:p w14:paraId="68D99F81" w14:textId="77777777" w:rsidR="00315595" w:rsidRPr="00315595" w:rsidRDefault="00315595" w:rsidP="0031559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частіше хворіють дорослі; – перебіг захворювання швидко прогресуючий; </w:t>
      </w:r>
    </w:p>
    <w:p w14:paraId="7FC8FCA3" w14:textId="77777777" w:rsidR="00315595" w:rsidRPr="00315595" w:rsidRDefault="00315595" w:rsidP="0031559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частіше виникають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виразково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-некротичні ураження шкіри та слизових оболонок; </w:t>
      </w:r>
    </w:p>
    <w:p w14:paraId="5C91052E" w14:textId="77777777" w:rsidR="00315595" w:rsidRPr="00315595" w:rsidRDefault="00315595" w:rsidP="0031559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виразність геморагічного синдрому більша;</w:t>
      </w:r>
    </w:p>
    <w:p w14:paraId="31F09190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Лабораторні дані при гострих лейкозах: </w:t>
      </w:r>
    </w:p>
    <w:p w14:paraId="750D13F5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Клінічний аналіз крові: </w:t>
      </w:r>
    </w:p>
    <w:p w14:paraId="11C38542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Нормохромна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нормоцитарна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анемія. </w:t>
      </w:r>
    </w:p>
    <w:p w14:paraId="14DBF425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Ретикулоцитопенія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5531E7A3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Тромбоцитопенія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76903AE4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Змінення загальної кількості лейкоцитів (збільшення або зменшення). </w:t>
      </w:r>
    </w:p>
    <w:p w14:paraId="16304580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Бластемія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54E6FEF7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Зменшення кількості зрілих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нейтрофілів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3CD01DCD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>Феномен «провалля». </w:t>
      </w:r>
    </w:p>
    <w:p w14:paraId="171413AC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Зникнення еозинофілів та базофілів. </w:t>
      </w:r>
    </w:p>
    <w:p w14:paraId="78436AEC" w14:textId="77777777" w:rsidR="00315595" w:rsidRPr="00315595" w:rsidRDefault="00315595" w:rsidP="0031559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Підвищення ШОЕ. </w:t>
      </w:r>
    </w:p>
    <w:p w14:paraId="4D69DDD7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Біохімічний аналіз крові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: </w:t>
      </w:r>
    </w:p>
    <w:p w14:paraId="71704F8D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можливі збільшення γ-глобулінів,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серомукоїду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фібрину, АЛТ, АСТ, лужної фосфатази, білірубіну, сечовини та креатиніну, зниження альбуміну. </w:t>
      </w:r>
    </w:p>
    <w:p w14:paraId="7CA8DB3D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Мієлограма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: </w:t>
      </w:r>
    </w:p>
    <w:p w14:paraId="74EFBFA6" w14:textId="77777777" w:rsidR="00315595" w:rsidRPr="00315595" w:rsidRDefault="00315595" w:rsidP="0031559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Кількість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збільшена до 30% і більше; </w:t>
      </w:r>
    </w:p>
    <w:p w14:paraId="2C983353" w14:textId="77777777" w:rsidR="00315595" w:rsidRPr="00315595" w:rsidRDefault="00315595" w:rsidP="0031559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Значна редукція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еритроїдного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гранулоцитарного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мегакаріоцитарного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паростків. </w:t>
      </w:r>
    </w:p>
    <w:p w14:paraId="65F5BFE8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Цитохімічні та 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імунофенотипові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дослідження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дозволяють диференціювати варіанти гострого лейкозу. При гістохімічному дослідженні - для гострого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лейкозу характерна позитивна реакція на глікоген, для гострого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мієлобластного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лейкозу – позитивна реакція на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мієлопероксідазу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Імунофенотипові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дослідження – виявлення на поверхні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лімфобластного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лейкозного антигену, В- 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Тклітинних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маркерів при гострому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лімфобластному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лейкозі. </w:t>
      </w:r>
    </w:p>
    <w:p w14:paraId="1FD00F6F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Молекулярно-біологічні дослідження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дозволяють виявити зміни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геному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що відповідають за злоякісну трансформацію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гемопоетичних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клітин. </w:t>
      </w:r>
    </w:p>
    <w:p w14:paraId="0BECDB3C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Цитогенетичний аналіз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дозволяє оцінити прогноз захворювання. </w:t>
      </w:r>
    </w:p>
    <w:p w14:paraId="18A35255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Інструментальні дослідження при гострих лейкозах: </w:t>
      </w:r>
    </w:p>
    <w:p w14:paraId="4C9A4FEF" w14:textId="77777777" w:rsidR="00315595" w:rsidRPr="00315595" w:rsidRDefault="00315595" w:rsidP="003155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Рентгенографія і томографія легень: можливо виявити лейкозний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пневмоніт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збільшені лімфовузли середостіння, плевральний випіт. </w:t>
      </w:r>
    </w:p>
    <w:p w14:paraId="56F9617C" w14:textId="77777777" w:rsidR="00315595" w:rsidRPr="00315595" w:rsidRDefault="00315595" w:rsidP="003155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ЕКГ: неспецифічні зміни у зв’язку з лейкозною інфільтрацією, а також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міокардіодистрофією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при пухлинній інтоксикації, анемії та токсичному впливі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цитостатичної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терапії. </w:t>
      </w:r>
    </w:p>
    <w:p w14:paraId="381DADD6" w14:textId="77777777" w:rsidR="00315595" w:rsidRPr="00315595" w:rsidRDefault="00315595" w:rsidP="003155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УЗД: розширення порожнин серця, зниження скоротливості міокарду, збільшення і неоднорідність структури печінки та селезінки. </w:t>
      </w:r>
    </w:p>
    <w:p w14:paraId="65A2B1C6" w14:textId="77777777" w:rsidR="00315595" w:rsidRPr="00315595" w:rsidRDefault="00315595" w:rsidP="003155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Радіоізотопне сканування печінки: визначається нерівномірне зниження накопичення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радіофармпрепарату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2D8ADA43" w14:textId="77777777" w:rsidR="00315595" w:rsidRPr="00315595" w:rsidRDefault="00315595" w:rsidP="003155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Спинномозкова пункція: виявлення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бластних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клітин при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нейролейкозі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</w:t>
      </w:r>
    </w:p>
    <w:p w14:paraId="7EC4B8F4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Диференційна діагностика гострих лейкозів.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5BF874FB" w14:textId="77777777" w:rsidR="00315595" w:rsidRPr="00315595" w:rsidRDefault="00315595" w:rsidP="0031559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Лейкемоїдні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реакції. </w:t>
      </w:r>
    </w:p>
    <w:p w14:paraId="65ACA343" w14:textId="77777777" w:rsidR="00315595" w:rsidRPr="00315595" w:rsidRDefault="00315595" w:rsidP="0031559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Гіпопластична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анемія. </w:t>
      </w:r>
    </w:p>
    <w:p w14:paraId="2B0038A1" w14:textId="77777777" w:rsidR="00315595" w:rsidRPr="00315595" w:rsidRDefault="00315595" w:rsidP="0031559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Агранулоцитоз. </w:t>
      </w:r>
    </w:p>
    <w:p w14:paraId="4289328F" w14:textId="77777777" w:rsidR="00315595" w:rsidRPr="00315595" w:rsidRDefault="00315595" w:rsidP="0031559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Мегалобластна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анемія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диф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діагноз з гострим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еритромієлозом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). </w:t>
      </w:r>
    </w:p>
    <w:p w14:paraId="24656906" w14:textId="77777777" w:rsidR="00315595" w:rsidRPr="00315595" w:rsidRDefault="00315595" w:rsidP="0031559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>Метастази злоякісної пухлини у кістковий мозок. </w:t>
      </w:r>
    </w:p>
    <w:p w14:paraId="617AD32F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Ускладнення гострих лейкозів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4004A145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Ускладненнями гострих лейкозів, що представляють безпосередню небезпеку для життя, є метастазування пухлини (з розвитком недостатності органу, що уражений) масивні кровотечі, важкі інфекційні захворювання.</w:t>
      </w:r>
    </w:p>
    <w:p w14:paraId="314BB441" w14:textId="77777777" w:rsidR="00315595" w:rsidRPr="00315595" w:rsidRDefault="00AF1FAE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hyperlink r:id="rId6" w:tooltip="ЛІКУВАННЯ" w:history="1">
        <w:r w:rsidR="00315595" w:rsidRPr="00315595">
          <w:rPr>
            <w:rFonts w:ascii="Segoe UI" w:eastAsia="Times New Roman" w:hAnsi="Segoe UI" w:cs="Segoe UI"/>
            <w:b/>
            <w:b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="00315595"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 гострих лейкозів. </w:t>
      </w:r>
    </w:p>
    <w:p w14:paraId="404EFC5A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i. Лікувальний режим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3133ECC3" w14:textId="77777777" w:rsidR="00315595" w:rsidRPr="00315595" w:rsidRDefault="00AF1FAE" w:rsidP="0031559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hyperlink r:id="rId7" w:tooltip="ЛІКУВАННЯ" w:history="1">
        <w:r w:rsidR="00315595"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="00315595"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в умовах гематологічного відділення до досягнення ремісії </w:t>
      </w:r>
    </w:p>
    <w:p w14:paraId="300ED1C1" w14:textId="77777777" w:rsidR="00315595" w:rsidRPr="00315595" w:rsidRDefault="00315595" w:rsidP="0031559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Постільний режим. </w:t>
      </w:r>
    </w:p>
    <w:p w14:paraId="43919595" w14:textId="77777777" w:rsidR="00315595" w:rsidRPr="00315595" w:rsidRDefault="00315595" w:rsidP="0031559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Харчування висококалорійне, насичене вітамінами та мікроелементами. </w:t>
      </w:r>
    </w:p>
    <w:p w14:paraId="43243F02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ii. 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Цитостатична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терапія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(існує декілька схем </w:t>
      </w:r>
      <w:hyperlink r:id="rId8" w:tooltip="ЛІКУВАННЯ" w:history="1">
        <w:r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). Етапи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цитостатичної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терапії складаються з наступних дій: </w:t>
      </w:r>
    </w:p>
    <w:p w14:paraId="60920D4F" w14:textId="77777777" w:rsidR="00315595" w:rsidRPr="00315595" w:rsidRDefault="00315595" w:rsidP="0031559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Індукція ремісії (4-6 тижнів). </w:t>
      </w:r>
    </w:p>
    <w:p w14:paraId="5E158AE1" w14:textId="77777777" w:rsidR="00315595" w:rsidRPr="00315595" w:rsidRDefault="00315595" w:rsidP="0031559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Консолідація (закріплення ремісії) – 6 тижнів. </w:t>
      </w:r>
    </w:p>
    <w:p w14:paraId="7B7DCB40" w14:textId="77777777" w:rsidR="00315595" w:rsidRPr="00315595" w:rsidRDefault="00315595" w:rsidP="0031559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Підтримуюча терапія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чередується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 циклами консолідації через 1 місяць. </w:t>
      </w:r>
    </w:p>
    <w:p w14:paraId="23EB5D93" w14:textId="77777777" w:rsidR="00315595" w:rsidRPr="00315595" w:rsidRDefault="00AF1FAE" w:rsidP="0031559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hyperlink r:id="rId9" w:tooltip="ЛІКУВАННЯ" w:history="1">
        <w:r w:rsidR="00315595"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="00315595"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рецидиву. </w:t>
      </w:r>
    </w:p>
    <w:p w14:paraId="177185AE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Цитостатична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терапія при гострому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лімфобластному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лейкозі: </w:t>
      </w:r>
    </w:p>
    <w:p w14:paraId="79221D4E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Індукція ремісії: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Вінкристин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(0,1% 1 мл) по 2 мл (2 мг) на добу в/в; Преднізолон (0,005 г) по 60 мг/м2 на добу всередину; L-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аспарагіназа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(10000 МО) по 6000 МО/м2 на добу всередину;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Доксорубіцин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 мг у флаконі) 20 мг/м2 на добу в/в. </w:t>
      </w:r>
    </w:p>
    <w:p w14:paraId="2CCB22E9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Підтримуюча терапія: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Меркаптопурин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«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Пури-нетол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» 60 мг/м2 на добу всередину;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Метотрексат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20 мг/м2 1 раз на тиждень </w:t>
      </w:r>
    </w:p>
    <w:p w14:paraId="08071BF1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Цитостатична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терапія при гострому </w:t>
      </w:r>
      <w:proofErr w:type="spellStart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мієлобластному</w:t>
      </w:r>
      <w:proofErr w:type="spellEnd"/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 xml:space="preserve"> лейкозі.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13C7911E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Індукція ремісії: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Цитарабін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(1000 мг у флаконі) 100 мг/м2 2 рази на добу в/в;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Доксорубіцин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 мг у флаконі) 20 мг/м2 на добу в/в. </w:t>
      </w:r>
    </w:p>
    <w:p w14:paraId="6A16F7F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Підтримуюча терапія: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Цитарабін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(1000 мг у флаконі) 100 мг/м2 2 рази на добу в/в;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Циклофосфамід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(1000 мг у флаконі) 1000 мг/м2 на добу в/в. </w:t>
      </w:r>
    </w:p>
    <w:p w14:paraId="0E330D22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iii. </w:t>
      </w: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Профілактика і </w:t>
      </w:r>
      <w:hyperlink r:id="rId10" w:tooltip="ЛІКУВАННЯ" w:history="1">
        <w:r w:rsidRPr="00315595">
          <w:rPr>
            <w:rFonts w:ascii="Segoe UI" w:eastAsia="Times New Roman" w:hAnsi="Segoe UI" w:cs="Segoe UI"/>
            <w:i/>
            <w:i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нейролейкеміі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Профілактика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нейролейкемії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повинна розпочинатися рано - в періоді індукційної терапії. На даний час найбільш ефективним визнано комбінований метод, що включає опромінення голови в сумарній дозі 18-24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Гр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ендолюбальне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введення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метотрексату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12,5 мг\м2 4-6 разів з інтервалом 3-5 днів; 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 xml:space="preserve">можливим є поєднання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метотрексату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цитозара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(30 мг\м2). Тестом, що підтверджує діагноз, є дослідження ліквору, очного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ЕЕГ, приєднання неврологічної симптоматики. Крім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метотрексату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можна вводити і інші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цитостатичні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препарати: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цитозар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(30 мг\м2), циклофосфан (80-100 мг\м2). У разі недостатнього ефекту доцільно використовувати променеву терапію, локальна разова доза становить 50-200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Гр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через 1-2 дня, курс продовжують до досягнення клінічного ефекту. </w:t>
      </w:r>
      <w:hyperlink r:id="rId11" w:tooltip="ЛІКУВАННЯ" w:history="1">
        <w:r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нейролейкозу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слід продовжувати до повної санації ліквору. </w:t>
      </w:r>
    </w:p>
    <w:p w14:paraId="578B7B6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iv. 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Дезінтоксикаційна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терапія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Інфузії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розчинів зі швидкістю 60-100 краплин на хвилину - 5% розчин глюкози 400 мл в/в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краплинно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0,9% розчин натрію хлориду 400 мл в/в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краплинно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розчин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Рінгера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400 мл в/в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краплинно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реосорбілакт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400 мл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краплинно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10% розчин альбуміну 100 мл в/в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краплинно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Форсований діурез – 1% розчин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фуросеміду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4 мл в/в, 2 % розчин еуфіліну 10 мл в/в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струминно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Гемосорбція.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Плазмаферез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Плазмосорбція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1D095AFC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v. </w:t>
      </w: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Запобігання синдрому 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бластного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лізису.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Під час хіміотерапії відбувається масивний лізис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бластів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, підвищення рівня сечової кислоти та відкладення її кристалів в нирках та сечовивідних шляхах. При підвищенні концентрації сечової кислоти в крові понад 300 мг/л призначається </w:t>
      </w:r>
      <w:hyperlink r:id="rId12" w:tooltip="ЛІКУВАННЯ" w:history="1">
        <w:r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: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Алопуринол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по 1 табл. (100 мг) 3 рази на добу. </w:t>
      </w:r>
    </w:p>
    <w:p w14:paraId="0AF43D1B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vi. </w:t>
      </w: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Імунотерапія.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α2-інтерферон «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Альфарона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» (5000000 МО у флаконі) по 5000000 МО/м2 на добу п/ш. </w:t>
      </w:r>
    </w:p>
    <w:p w14:paraId="56D8FA31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vii. </w:t>
      </w: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Трансплантація кісткового мозку.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5D030B48" w14:textId="77777777" w:rsidR="00315595" w:rsidRPr="00315595" w:rsidRDefault="00315595" w:rsidP="0031559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Аллогенна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трансплантація (від родича або від стороннього донора, які сумісні за системою HLA).</w:t>
      </w:r>
    </w:p>
    <w:p w14:paraId="58D4AF0F" w14:textId="77777777" w:rsidR="00315595" w:rsidRPr="00315595" w:rsidRDefault="00315595" w:rsidP="0031559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Сингенна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трасплантація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(від близнюка). </w:t>
      </w:r>
    </w:p>
    <w:p w14:paraId="724CAD7C" w14:textId="77777777" w:rsidR="00315595" w:rsidRPr="00315595" w:rsidRDefault="00315595" w:rsidP="0031559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Аутологічна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трансплантація (пересадка кісткового мозку, що заготовлений у хворого в період ремісії). </w:t>
      </w:r>
    </w:p>
    <w:p w14:paraId="02A8627D" w14:textId="77777777" w:rsidR="00315595" w:rsidRPr="00315595" w:rsidRDefault="00315595" w:rsidP="0031559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Основні показання до трансплантації: гострі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мієлобластні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та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лімфобластні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лейкози, лімфоми з високим ступенем злоякісності, мієломна хвороба II-III стадій, лімфогранулематоз, хронічний мієлолейкоз,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мієлодиспластичний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синдром у дорослих. </w:t>
      </w:r>
    </w:p>
    <w:p w14:paraId="10D71361" w14:textId="77777777" w:rsidR="00315595" w:rsidRPr="00315595" w:rsidRDefault="00315595" w:rsidP="0031559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Основні протипоказання до трансплантації: вік хворого старше 50 років, систолічна дисфункція серця (фракція викиду лівого шлуночка &lt;40%), порушення функції печінки (білірубін &gt;30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мкмоль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/л, підвищення рівня трансаміназ), порушення функції нирок (креатинін &gt;0,15 ммоль/л), важкий соматичний стан, інфекційні захворювання, психологічна нестійкість. </w:t>
      </w:r>
    </w:p>
    <w:p w14:paraId="260F2C09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viii. </w:t>
      </w:r>
      <w:hyperlink r:id="rId13" w:tooltip="ЛІКУВАННЯ" w:history="1">
        <w:r w:rsidRPr="00315595">
          <w:rPr>
            <w:rFonts w:ascii="Segoe UI" w:eastAsia="Times New Roman" w:hAnsi="Segoe UI" w:cs="Segoe UI"/>
            <w:i/>
            <w:i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 інфекційних ускладнень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У разі бактеріальної інфекції - антибіотики широкого спектру дії (частіше комбінація цефалоспорин +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аміноглікозид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). У разі приєднання вірусної інфекції – антивірусні препарати: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ацикловір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1 табл. [200 мг] 4 рази на добу). У разі приєднання грибкової інфекції – протигрибкові засоби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флуконазол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1 табл. [50 мг] 1 раз на добу). </w:t>
      </w:r>
    </w:p>
    <w:p w14:paraId="2F191DCD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lastRenderedPageBreak/>
        <w:t>ix. </w:t>
      </w:r>
      <w:hyperlink r:id="rId14" w:tooltip="ЛІКУВАННЯ" w:history="1">
        <w:r w:rsidRPr="00315595">
          <w:rPr>
            <w:rFonts w:ascii="Segoe UI" w:eastAsia="Times New Roman" w:hAnsi="Segoe UI" w:cs="Segoe UI"/>
            <w:i/>
            <w:i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 анемії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Трансфузії відмитих еритроцитів. Застосування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еритропоетину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-α «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Епоетал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» (4000 МО у флаконі) 50 МО/м2 3 рази на тиждень. </w:t>
      </w:r>
    </w:p>
    <w:p w14:paraId="719914B7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x. </w:t>
      </w:r>
      <w:hyperlink r:id="rId15" w:tooltip="ЛІКУВАННЯ" w:history="1">
        <w:r w:rsidRPr="00315595">
          <w:rPr>
            <w:rFonts w:ascii="Segoe UI" w:eastAsia="Times New Roman" w:hAnsi="Segoe UI" w:cs="Segoe UI"/>
            <w:i/>
            <w:i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 геморагічного синдрому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Переливання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тромбоцитарної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маси. Переливання свіжозамороженої плазми.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Інфузії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5% розчину амінокапронової кислоти 100-200 мл в/в. </w:t>
      </w:r>
    </w:p>
    <w:p w14:paraId="18BCA91E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xi. </w:t>
      </w:r>
      <w:hyperlink r:id="rId16" w:tooltip="ЛІКУВАННЯ" w:history="1">
        <w:r w:rsidRPr="00315595">
          <w:rPr>
            <w:rFonts w:ascii="Segoe UI" w:eastAsia="Times New Roman" w:hAnsi="Segoe UI" w:cs="Segoe UI"/>
            <w:i/>
            <w:iCs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цитостатичної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хвороби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Терапія антибіотиками широкого спектру дії. Переливання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тромбоцитарної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маси. </w:t>
      </w:r>
      <w:hyperlink r:id="rId17" w:tooltip="ЛІКУВАННЯ" w:history="1">
        <w:r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колонієстимуюючими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факторами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філграст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в/в 10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мкг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/кг/доба). </w:t>
      </w:r>
    </w:p>
    <w:p w14:paraId="18B0A876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Надання допомоги при нудоті і блювоті.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Антагоністи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серотонінових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рецепторів –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ондасетрон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гранісетрон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тропісетрон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.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Ондасетрон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застосовується в дозі 8 мг внутрішньовенно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струйно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за 30 хвилин до введення цитостатиків і далі в режимі безперервної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інфузії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протягом доби в дозі 1 мг / год протягом 4-7 днів. З метою оптимізації терапії доцільно комбінувати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протинудотні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засоби з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дексаметазоном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в дозі 10 мг / добу внутрішньовенно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струменево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або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діазепамом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по 5 мг всередину. </w:t>
      </w:r>
    </w:p>
    <w:p w14:paraId="4C3B720F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Профілактика гострих лейкозів.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 Профілактика гострих лейкозів складається з запобігання шкідливого впливу на організм людини іонізуючої радіації, хімічних речовин-канцерогенів,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ретровірусів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та проведення роботи з медико-генетичних консультацій в сім’ях, де були зареєстровані випадки лейкозів. </w:t>
      </w:r>
    </w:p>
    <w:p w14:paraId="1F939653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Прогноз при гострих лейкозах.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Прогностичні фактори допомагають визначити протокол та інтенсивність </w:t>
      </w:r>
      <w:hyperlink r:id="rId18" w:tooltip="ЛІКУВАННЯ" w:history="1">
        <w:r w:rsidRPr="00315595">
          <w:rPr>
            <w:rFonts w:ascii="Segoe UI" w:eastAsia="Times New Roman" w:hAnsi="Segoe UI" w:cs="Segoe UI"/>
            <w:color w:val="1E7D00"/>
            <w:sz w:val="23"/>
            <w:szCs w:val="23"/>
            <w:u w:val="single"/>
            <w:lang w:val="uk-UA" w:eastAsia="uk-UA"/>
          </w:rPr>
          <w:t>лікування</w:t>
        </w:r>
      </w:hyperlink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. </w:t>
      </w:r>
    </w:p>
    <w:p w14:paraId="7BFA9EB4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Гострий 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лімфобластний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лейкоз: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</w:t>
      </w:r>
    </w:p>
    <w:p w14:paraId="58A75434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Сприятливі прогностичні фактори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: вік від 3 до 9 років, кількість лейкоцитів &lt;25 *109 /л (&lt;50 *109 /л у дітей), FAB L1, каріотип лейкозних клітин ≥50 хромосом і t (12; 21), відсутність ознак ураження ЦНС на момент постановки діагнозу. </w:t>
      </w:r>
    </w:p>
    <w:p w14:paraId="26562FA0" w14:textId="77777777" w:rsidR="00315595" w:rsidRPr="00315595" w:rsidRDefault="00315595" w:rsidP="003155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</w:pPr>
      <w:r w:rsidRPr="00315595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uk-UA" w:eastAsia="uk-UA"/>
        </w:rPr>
        <w:t>Несприятливі чинники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включають: каріотип лейкозних клітин містить хромосоми, кількість яких є нормальною, але їх морфологія є спотвореною (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псевдодиплоїдний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каріотип), похилий вік, В-клітинний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імунофенотип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 xml:space="preserve"> з наявністю поверхневого або цитоплазматичного імуноглобуліну, наявність раннього попереднику Т-клітинного фенотипу. Незалежно від прогностичних факторів, ймовірність початкової ремісії ≥ 95% у дітей і 70 до 90% у дорослих. Серед дітей, 75% або більше досягають безперервної ремісії тривалістю 5 років і більше (навіть </w:t>
      </w:r>
      <w:proofErr w:type="spellStart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пожиттєвої</w:t>
      </w:r>
      <w:proofErr w:type="spellEnd"/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). З дорослих, від 30 до 40% досягають безперервної ремісії понад 5 років. </w:t>
      </w:r>
    </w:p>
    <w:p w14:paraId="74BD1046" w14:textId="46833F5C" w:rsidR="00B27307" w:rsidRPr="00315595" w:rsidRDefault="00315595" w:rsidP="00315595">
      <w:pPr>
        <w:shd w:val="clear" w:color="auto" w:fill="FFFFFF"/>
        <w:spacing w:after="100" w:afterAutospacing="1" w:line="240" w:lineRule="auto"/>
        <w:rPr>
          <w:lang w:val="uk-UA"/>
        </w:rPr>
      </w:pPr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Гострий </w:t>
      </w:r>
      <w:proofErr w:type="spellStart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>мієлообластний</w:t>
      </w:r>
      <w:proofErr w:type="spellEnd"/>
      <w:r w:rsidRPr="00315595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uk-UA" w:eastAsia="uk-UA"/>
        </w:rPr>
        <w:t xml:space="preserve"> лейкоз:</w:t>
      </w:r>
      <w:r w:rsidRPr="00315595">
        <w:rPr>
          <w:rFonts w:ascii="Segoe UI" w:eastAsia="Times New Roman" w:hAnsi="Segoe UI" w:cs="Segoe UI"/>
          <w:color w:val="1D2125"/>
          <w:sz w:val="23"/>
          <w:szCs w:val="23"/>
          <w:lang w:val="uk-UA" w:eastAsia="uk-UA"/>
        </w:rPr>
        <w:t> Частота індукції ремісії знаходиться в діапазоні від 50 до 85%. Безперервної ремісії тривалістю понад 5 років досягають від 20 до 40% хворих. Частота досягнення тривалої ремісії збільшується до 40-50% у молодих пацієнтів, яким проводиться інтенсивна хіміотерапія або трансплантація стовбурових клітин.</w:t>
      </w:r>
    </w:p>
    <w:sectPr w:rsidR="00B27307" w:rsidRPr="003155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0242"/>
    <w:multiLevelType w:val="multilevel"/>
    <w:tmpl w:val="8E9E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771"/>
    <w:multiLevelType w:val="multilevel"/>
    <w:tmpl w:val="62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7891"/>
    <w:multiLevelType w:val="multilevel"/>
    <w:tmpl w:val="4202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413C5"/>
    <w:multiLevelType w:val="multilevel"/>
    <w:tmpl w:val="29E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1508B"/>
    <w:multiLevelType w:val="multilevel"/>
    <w:tmpl w:val="562C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6149E"/>
    <w:multiLevelType w:val="multilevel"/>
    <w:tmpl w:val="541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53B0E"/>
    <w:multiLevelType w:val="multilevel"/>
    <w:tmpl w:val="84CA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10CFF"/>
    <w:multiLevelType w:val="multilevel"/>
    <w:tmpl w:val="8BF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A37F7"/>
    <w:multiLevelType w:val="multilevel"/>
    <w:tmpl w:val="580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B27BA"/>
    <w:multiLevelType w:val="multilevel"/>
    <w:tmpl w:val="AF1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116F1"/>
    <w:multiLevelType w:val="multilevel"/>
    <w:tmpl w:val="833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3D3B"/>
    <w:multiLevelType w:val="multilevel"/>
    <w:tmpl w:val="8B8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85BAB"/>
    <w:multiLevelType w:val="multilevel"/>
    <w:tmpl w:val="E0A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C3605"/>
    <w:multiLevelType w:val="multilevel"/>
    <w:tmpl w:val="3810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62AEB"/>
    <w:multiLevelType w:val="multilevel"/>
    <w:tmpl w:val="858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570CC"/>
    <w:multiLevelType w:val="multilevel"/>
    <w:tmpl w:val="31F8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FB0587"/>
    <w:multiLevelType w:val="multilevel"/>
    <w:tmpl w:val="6DE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86FD8"/>
    <w:multiLevelType w:val="multilevel"/>
    <w:tmpl w:val="E31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A132D"/>
    <w:multiLevelType w:val="multilevel"/>
    <w:tmpl w:val="A92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6014A"/>
    <w:multiLevelType w:val="multilevel"/>
    <w:tmpl w:val="56E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85D8E"/>
    <w:multiLevelType w:val="multilevel"/>
    <w:tmpl w:val="B6E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54EEC"/>
    <w:multiLevelType w:val="multilevel"/>
    <w:tmpl w:val="073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B20CB"/>
    <w:multiLevelType w:val="multilevel"/>
    <w:tmpl w:val="87C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19163">
    <w:abstractNumId w:val="12"/>
  </w:num>
  <w:num w:numId="2" w16cid:durableId="830173093">
    <w:abstractNumId w:val="15"/>
  </w:num>
  <w:num w:numId="3" w16cid:durableId="14892804">
    <w:abstractNumId w:val="14"/>
  </w:num>
  <w:num w:numId="4" w16cid:durableId="1065176866">
    <w:abstractNumId w:val="4"/>
  </w:num>
  <w:num w:numId="5" w16cid:durableId="1065176235">
    <w:abstractNumId w:val="20"/>
  </w:num>
  <w:num w:numId="6" w16cid:durableId="2068527406">
    <w:abstractNumId w:val="7"/>
  </w:num>
  <w:num w:numId="7" w16cid:durableId="1925455225">
    <w:abstractNumId w:val="17"/>
  </w:num>
  <w:num w:numId="8" w16cid:durableId="467168393">
    <w:abstractNumId w:val="13"/>
  </w:num>
  <w:num w:numId="9" w16cid:durableId="1325933805">
    <w:abstractNumId w:val="6"/>
  </w:num>
  <w:num w:numId="10" w16cid:durableId="1520771942">
    <w:abstractNumId w:val="19"/>
  </w:num>
  <w:num w:numId="11" w16cid:durableId="853543687">
    <w:abstractNumId w:val="18"/>
  </w:num>
  <w:num w:numId="12" w16cid:durableId="1762557883">
    <w:abstractNumId w:val="21"/>
  </w:num>
  <w:num w:numId="13" w16cid:durableId="143353664">
    <w:abstractNumId w:val="22"/>
  </w:num>
  <w:num w:numId="14" w16cid:durableId="2045014831">
    <w:abstractNumId w:val="10"/>
  </w:num>
  <w:num w:numId="15" w16cid:durableId="264115188">
    <w:abstractNumId w:val="16"/>
  </w:num>
  <w:num w:numId="16" w16cid:durableId="395124409">
    <w:abstractNumId w:val="5"/>
  </w:num>
  <w:num w:numId="17" w16cid:durableId="232199797">
    <w:abstractNumId w:val="0"/>
  </w:num>
  <w:num w:numId="18" w16cid:durableId="1819881933">
    <w:abstractNumId w:val="2"/>
  </w:num>
  <w:num w:numId="19" w16cid:durableId="286855235">
    <w:abstractNumId w:val="9"/>
  </w:num>
  <w:num w:numId="20" w16cid:durableId="1689989979">
    <w:abstractNumId w:val="3"/>
  </w:num>
  <w:num w:numId="21" w16cid:durableId="1049919359">
    <w:abstractNumId w:val="8"/>
  </w:num>
  <w:num w:numId="22" w16cid:durableId="684594029">
    <w:abstractNumId w:val="1"/>
  </w:num>
  <w:num w:numId="23" w16cid:durableId="1304502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95"/>
    <w:rsid w:val="00315595"/>
    <w:rsid w:val="00AF1FAE"/>
    <w:rsid w:val="00B2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B3B1E"/>
  <w15:chartTrackingRefBased/>
  <w15:docId w15:val="{FC7195A5-9FFA-4B25-954D-3EC031DB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59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1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tance.knmu.edu.ua/mod/page/view.php?id=9000" TargetMode="External"/><Relationship Id="rId13" Type="http://schemas.openxmlformats.org/officeDocument/2006/relationships/hyperlink" Target="https://distance.knmu.edu.ua/mod/page/view.php?id=9000" TargetMode="External"/><Relationship Id="rId18" Type="http://schemas.openxmlformats.org/officeDocument/2006/relationships/hyperlink" Target="https://distance.knmu.edu.ua/mod/page/view.php?id=9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tance.knmu.edu.ua/mod/page/view.php?id=9000" TargetMode="External"/><Relationship Id="rId12" Type="http://schemas.openxmlformats.org/officeDocument/2006/relationships/hyperlink" Target="https://distance.knmu.edu.ua/mod/page/view.php?id=9000" TargetMode="External"/><Relationship Id="rId17" Type="http://schemas.openxmlformats.org/officeDocument/2006/relationships/hyperlink" Target="https://distance.knmu.edu.ua/mod/page/view.php?id=90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stance.knmu.edu.ua/mod/page/view.php?id=900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stance.knmu.edu.ua/mod/page/view.php?id=9000" TargetMode="External"/><Relationship Id="rId11" Type="http://schemas.openxmlformats.org/officeDocument/2006/relationships/hyperlink" Target="https://distance.knmu.edu.ua/mod/page/view.php?id=9000" TargetMode="External"/><Relationship Id="rId5" Type="http://schemas.openxmlformats.org/officeDocument/2006/relationships/hyperlink" Target="https://distance.knmu.edu.ua/mod/page/view.php?id=9000" TargetMode="External"/><Relationship Id="rId15" Type="http://schemas.openxmlformats.org/officeDocument/2006/relationships/hyperlink" Target="https://distance.knmu.edu.ua/mod/page/view.php?id=9000" TargetMode="External"/><Relationship Id="rId10" Type="http://schemas.openxmlformats.org/officeDocument/2006/relationships/hyperlink" Target="https://distance.knmu.edu.ua/mod/page/view.php?id=900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tance.knmu.edu.ua/mod/page/view.php?id=9000" TargetMode="External"/><Relationship Id="rId14" Type="http://schemas.openxmlformats.org/officeDocument/2006/relationships/hyperlink" Target="https://distance.knmu.edu.ua/mod/page/view.php?id=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13046</Words>
  <Characters>7437</Characters>
  <Application>Microsoft Office Word</Application>
  <DocSecurity>0</DocSecurity>
  <Lines>61</Lines>
  <Paragraphs>40</Paragraphs>
  <ScaleCrop>false</ScaleCrop>
  <Company/>
  <LinksUpToDate>false</LinksUpToDate>
  <CharactersWithSpaces>20443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Валерій Глушич 3м-19-31</dc:creator>
  <cp:keywords/>
  <dc:description/>
  <cp:lastModifiedBy>Валерій Глушич 3м-19-31</cp:lastModifiedBy>
  <cp:revision>2</cp:revision>
  <dcterms:created xsi:type="dcterms:W3CDTF">2026-02-23T00:19:00Z</dcterms:created>
  <dcterms:modified xsi:type="dcterms:W3CDTF">2026-02-23T00:19:00Z</dcterms:modified>
</cp:coreProperties>
</file>