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1F4E5F"/>
          <w:sz w:val="56"/>
          <w:szCs w:val="56"/>
        </w:rPr>
        <w:t xml:space="preserve">CHECKLIST DE RECETTE</w:t>
      </w:r>
    </w:p>
    <w:p>
      <w:pPr>
        <w:spacing w:after="240"/>
        <w:jc w:val="center"/>
      </w:pPr>
      <w:r>
        <w:rPr>
          <w:b/>
          <w:bCs/>
          <w:sz w:val="40"/>
          <w:szCs w:val="40"/>
        </w:rPr>
        <w:t xml:space="preserve">medical-guidelines.net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Critères à vérifier avant de déclarer le MVP terminé et avant chaque mise en production majeure</w:t>
      </w:r>
    </w:p>
    <w:p>
      <w:pPr>
        <w:spacing w:after="400"/>
        <w:jc w:val="center"/>
      </w:pPr>
      <w:r>
        <w:rPr>
          <w:b/>
          <w:bCs/>
          <w:color w:val="B23A2E"/>
          <w:sz w:val="26"/>
          <w:szCs w:val="26"/>
        </w:rPr>
        <w:t xml:space="preserve">Version 4.5 — Document 3/3 : checklist de recette</w:t>
      </w:r>
    </w:p>
    <w:p>
      <w:pPr>
        <w:spacing w:after="120"/>
        <w:jc w:val="center"/>
      </w:pPr>
      <w:r>
        <w:rPr>
          <w:sz w:val="20"/>
          <w:szCs w:val="20"/>
        </w:rPr>
        <w:t xml:space="preserve">Document 1/3 : cahier des charges produit — Document 2/3 : spécification technique</w:t>
      </w:r>
    </w:p>
    <w:p>
      <w:pPr>
        <w:spacing w:after="120"/>
        <w:jc w:val="center"/>
      </w:pPr>
      <w:r>
        <w:rPr>
          <w:sz w:val="20"/>
          <w:szCs w:val="20"/>
        </w:rPr>
        <w:t xml:space="preserve">Chaque ligne doit être cochée, datée et signée par le porteur de projet avant l’ouverture commerciale.</w:t>
      </w:r>
    </w:p>
    <w:p>
      <w:pPr>
        <w:spacing w:after="120" w:before="400"/>
        <w:jc w:val="center"/>
      </w:pPr>
      <w:r>
        <w:rPr>
          <w:color w:val="666666"/>
          <w:sz w:val="18"/>
          <w:szCs w:val="18"/>
        </w:rPr>
        <w:t xml:space="preserve">28 septembre 2026</w:t>
      </w:r>
    </w:p>
    <w:p>
      <w:r>
        <w:br w:type="page"/>
      </w:r>
    </w:p>
    <w:p>
      <w:pPr>
        <w:pStyle w:val="Heading1"/>
        <w:spacing w:after="160" w:before="360"/>
      </w:pPr>
      <w:r>
        <w:t xml:space="preserve">Sommaire</w:t>
      </w:r>
    </w:p>
    <w:sdt>
      <w:sdtPr>
        <w:alias w:val="Sommaire (clic puis F9 dans Word pour mettre à jour)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t xml:space="preserve">Mode d’emploi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Chaque critère renvoie au cahier des charges produit (CDC) ou à la spécification technique (ST).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Les vérifications sont faites sur l’environnement de test, puis contrôlées à nouveau en production après mise en ligne.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Les tests marqués « automatique » sont rejoués par l’intégration continue avant chaque mise en production.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 critère non conforme bloque l’ouverture commerciale ; il est reporté dans la synthèse hebdomadaire jusqu’à sa correction.</w:t>
      </w:r>
    </w:p>
    <w:p>
      <w:pPr>
        <w:pStyle w:val="Heading1"/>
        <w:spacing w:after="160" w:before="360"/>
      </w:pPr>
      <w:r>
        <w:t xml:space="preserve">1. Parcours et accès</w:t>
      </w:r>
    </w:p>
    <w:p>
      <w:pPr>
        <w:pStyle w:val="Heading2"/>
        <w:spacing w:after="120" w:before="260"/>
      </w:pPr>
      <w:r>
        <w:t xml:space="preserve">1.1 Parcours complet (mobile et ordinateur)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200"/>
        <w:gridCol w:w="800"/>
      </w:tblGrid>
      <w:tr>
        <w:trPr>
          <w:tblHeader/>
        </w:trPr>
        <w:tc>
          <w:tcPr>
            <w:tcW w:type="dxa" w:w="4600"/>
            <w:shd w:fill="1F4E5F" w:color="auto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4200"/>
            <w:shd w:fill="1F4E5F" w:color="auto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 vérifier</w:t>
            </w:r>
          </w:p>
        </w:tc>
        <w:tc>
          <w:tcPr>
            <w:tcW w:type="dxa" w:w="800"/>
            <w:shd w:fill="1F4E5F" w:color="auto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4600"/>
          </w:tcPr>
          <w:p>
            <w:r>
              <w:rPr>
                <w:sz w:val="20"/>
                <w:szCs w:val="20"/>
              </w:rPr>
              <w:t xml:space="preserve">Inscription → e-mail confirmé (par code et par lien) → 1 à 5 fiches débloquées → quota atteint → paiement → accès à toute la spécialité → résiliation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Test automatique de bout en bout + test manuel sur iOS Safari, Android Chrome et un navigateur d’ordinateur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6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Le lien reçu par e-mail fonctionne même ouvert deux fois</w:t>
            </w:r>
          </w:p>
        </w:tc>
        <w:tc>
          <w:tcPr>
            <w:tcW w:type="dxa" w:w="42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Ouvrir deux fois le même lien de confirmation et de mot de passe oublié</w:t>
            </w:r>
          </w:p>
        </w:tc>
        <w:tc>
          <w:tcPr>
            <w:tcW w:type="dxa" w:w="8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600"/>
          </w:tcPr>
          <w:p>
            <w:r>
              <w:rPr>
                <w:sz w:val="20"/>
                <w:szCs w:val="20"/>
              </w:rPr>
              <w:t xml:space="preserve">Mot de passe oublié fonctionne de bout en bout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Demande, e-mail reçu, nouveau mot de passe, connexion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t xml:space="preserve">1.2 Compte gratuit (CDC §5)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200"/>
        <w:gridCol w:w="800"/>
      </w:tblGrid>
      <w:tr>
        <w:trPr>
          <w:tblHeader/>
        </w:trPr>
        <w:tc>
          <w:tcPr>
            <w:tcW w:type="dxa" w:w="4600"/>
            <w:shd w:fill="1F4E5F" w:color="auto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4200"/>
            <w:shd w:fill="1F4E5F" w:color="auto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 vérifier</w:t>
            </w:r>
          </w:p>
        </w:tc>
        <w:tc>
          <w:tcPr>
            <w:tcW w:type="dxa" w:w="800"/>
            <w:shd w:fill="1F4E5F" w:color="auto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4600"/>
          </w:tcPr>
          <w:p>
            <w:r>
              <w:rPr>
                <w:sz w:val="20"/>
                <w:szCs w:val="20"/>
              </w:rPr>
              <w:t xml:space="preserve">Un 6ᵉ déblocage est refusé, y compris par appel direct au serveur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Test automatique : appel de la fonction de déblocage une 6ᵉ fois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6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Une fiche débloquée reste consultable et n’est pas recomptée</w:t>
            </w:r>
          </w:p>
        </w:tc>
        <w:tc>
          <w:tcPr>
            <w:tcW w:type="dxa" w:w="42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Rouvrir une fiche déjà débloquée : compteur inchangé</w:t>
            </w:r>
          </w:p>
        </w:tc>
        <w:tc>
          <w:tcPr>
            <w:tcW w:type="dxa" w:w="8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600"/>
          </w:tcPr>
          <w:p>
            <w:r>
              <w:rPr>
                <w:sz w:val="20"/>
                <w:szCs w:val="20"/>
              </w:rPr>
              <w:t xml:space="preserve">Confirmation affichée avant chaque déblocage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Test manuel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6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Compteur « x/5 » visible et exact</w:t>
            </w:r>
          </w:p>
        </w:tc>
        <w:tc>
          <w:tcPr>
            <w:tcW w:type="dxa" w:w="42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Test manuel</w:t>
            </w:r>
          </w:p>
        </w:tc>
        <w:tc>
          <w:tcPr>
            <w:tcW w:type="dxa" w:w="8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600"/>
          </w:tcPr>
          <w:p>
            <w:r>
              <w:rPr>
                <w:sz w:val="20"/>
                <w:szCs w:val="20"/>
              </w:rPr>
              <w:t xml:space="preserve">Une recommandation ouverte depuis la recherche compte pour sa fiche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Rechercher, ouvrir, vérifier le compteur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6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Les pages publiques ne consomment aucun quota et n’exposent pas le contenu premium</w:t>
            </w:r>
          </w:p>
        </w:tc>
        <w:tc>
          <w:tcPr>
            <w:tcW w:type="dxa" w:w="42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Consulter une page publique sans compte ; vérifier le code source de la page</w:t>
            </w:r>
          </w:p>
        </w:tc>
        <w:tc>
          <w:tcPr>
            <w:tcW w:type="dxa" w:w="8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t xml:space="preserve">1.3 Spécialité et droits (CDC §5.3)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200"/>
        <w:gridCol w:w="800"/>
      </w:tblGrid>
      <w:tr>
        <w:trPr>
          <w:tblHeader/>
        </w:trPr>
        <w:tc>
          <w:tcPr>
            <w:tcW w:type="dxa" w:w="4600"/>
            <w:shd w:fill="1F4E5F" w:color="auto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4200"/>
            <w:shd w:fill="1F4E5F" w:color="auto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 vérifier</w:t>
            </w:r>
          </w:p>
        </w:tc>
        <w:tc>
          <w:tcPr>
            <w:tcW w:type="dxa" w:w="800"/>
            <w:shd w:fill="1F4E5F" w:color="auto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4600"/>
          </w:tcPr>
          <w:p>
            <w:r>
              <w:rPr>
                <w:sz w:val="20"/>
                <w:szCs w:val="20"/>
              </w:rPr>
              <w:t xml:space="preserve">Un compte ne peut pas lire le contenu premium d’une autre spécialité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Test automatique d’accès croisé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6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Aucun contenu premium n’est envoyé au navigateur sans droits</w:t>
            </w:r>
          </w:p>
        </w:tc>
        <w:tc>
          <w:tcPr>
            <w:tcW w:type="dxa" w:w="42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Inspecter les réponses du serveur d’un compte gratuit sur une fiche non débloquée</w:t>
            </w:r>
          </w:p>
        </w:tc>
        <w:tc>
          <w:tcPr>
            <w:tcW w:type="dxa" w:w="8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600"/>
          </w:tcPr>
          <w:p>
            <w:r>
              <w:rPr>
                <w:sz w:val="20"/>
                <w:szCs w:val="20"/>
              </w:rPr>
              <w:t xml:space="preserve">Aucune fiche n’est accessible sans session (redirection vers la connexion)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Test automatique quotidien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t xml:space="preserve">2. Contenu et publication</w:t>
      </w:r>
    </w:p>
    <w:p>
      <w:pPr>
        <w:pStyle w:val="Heading2"/>
        <w:spacing w:after="120" w:before="260"/>
      </w:pPr>
      <w:r>
        <w:t xml:space="preserve">2.1 Verrou de publication (CDC §9.2)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200"/>
        <w:gridCol w:w="800"/>
      </w:tblGrid>
      <w:tr>
        <w:trPr>
          <w:tblHeader/>
        </w:trPr>
        <w:tc>
          <w:tcPr>
            <w:tcW w:type="dxa" w:w="4600"/>
            <w:shd w:fill="1F4E5F" w:color="auto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4200"/>
            <w:shd w:fill="1F4E5F" w:color="auto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 vérifier</w:t>
            </w:r>
          </w:p>
        </w:tc>
        <w:tc>
          <w:tcPr>
            <w:tcW w:type="dxa" w:w="800"/>
            <w:shd w:fill="1F4E5F" w:color="auto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4600"/>
          </w:tcPr>
          <w:p>
            <w:r>
              <w:rPr>
                <w:sz w:val="20"/>
                <w:szCs w:val="20"/>
              </w:rPr>
              <w:t xml:space="preserve">Publication refusée sans URL source, sans date, sans statut juridique validé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Tenter de publier une fiche incomplète pour chaque condition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6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Publication d’une traduction refusée sans autorisation de traduction ni relecture de la langue</w:t>
            </w:r>
          </w:p>
        </w:tc>
        <w:tc>
          <w:tcPr>
            <w:tcW w:type="dxa" w:w="42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Test sur une fiche de test</w:t>
            </w:r>
          </w:p>
        </w:tc>
        <w:tc>
          <w:tcPr>
            <w:tcW w:type="dxa" w:w="8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600"/>
          </w:tcPr>
          <w:p>
            <w:r>
              <w:rPr>
                <w:sz w:val="20"/>
                <w:szCs w:val="20"/>
              </w:rPr>
              <w:t xml:space="preserve">Aucun grade vide : valeur de la source ou « non indiqué »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Contrôle automatique à l’import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t xml:space="preserve">2.2 Fiche (CDC §6.2)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200"/>
        <w:gridCol w:w="800"/>
      </w:tblGrid>
      <w:tr>
        <w:trPr>
          <w:tblHeader/>
        </w:trPr>
        <w:tc>
          <w:tcPr>
            <w:tcW w:type="dxa" w:w="4600"/>
            <w:shd w:fill="1F4E5F" w:color="auto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4200"/>
            <w:shd w:fill="1F4E5F" w:color="auto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 vérifier</w:t>
            </w:r>
          </w:p>
        </w:tc>
        <w:tc>
          <w:tcPr>
            <w:tcW w:type="dxa" w:w="800"/>
            <w:shd w:fill="1F4E5F" w:color="auto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4600"/>
          </w:tcPr>
          <w:p>
            <w:r>
              <w:rPr>
                <w:sz w:val="20"/>
                <w:szCs w:val="20"/>
              </w:rPr>
              <w:t xml:space="preserve">Points clés (3 à 5) en tête de fiche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Revue de 5 fiches au hasard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6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Mention « Relue par Dr …, le … »</w:t>
            </w:r>
          </w:p>
        </w:tc>
        <w:tc>
          <w:tcPr>
            <w:tcW w:type="dxa" w:w="42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Revue de 5 fiches</w:t>
            </w:r>
          </w:p>
        </w:tc>
        <w:tc>
          <w:tcPr>
            <w:tcW w:type="dxa" w:w="8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600"/>
          </w:tcPr>
          <w:p>
            <w:r>
              <w:rPr>
                <w:sz w:val="20"/>
                <w:szCs w:val="20"/>
              </w:rPr>
              <w:t xml:space="preserve">Dernière et prochaine vérification affichées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Revue de 5 fiches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6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Avertissement d’ancienneté au-delà de 10 ans</w:t>
            </w:r>
          </w:p>
        </w:tc>
        <w:tc>
          <w:tcPr>
            <w:tcW w:type="dxa" w:w="42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Fiche d’un document de plus de 10 ans</w:t>
            </w:r>
          </w:p>
        </w:tc>
        <w:tc>
          <w:tcPr>
            <w:tcW w:type="dxa" w:w="8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600"/>
          </w:tcPr>
          <w:p>
            <w:r>
              <w:rPr>
                <w:sz w:val="20"/>
                <w:szCs w:val="20"/>
              </w:rPr>
              <w:t xml:space="preserve">Encadré « Recommandations divergentes » quand deux sociétés divergent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Fiche de test reliée à une recommandation divergente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6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Filigrane personnalisé visible sur 100 % des fiches premium</w:t>
            </w:r>
          </w:p>
        </w:tc>
        <w:tc>
          <w:tcPr>
            <w:tcW w:type="dxa" w:w="42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Ordinateur et mobile</w:t>
            </w:r>
          </w:p>
        </w:tc>
        <w:tc>
          <w:tcPr>
            <w:tcW w:type="dxa" w:w="8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600"/>
          </w:tcPr>
          <w:p>
            <w:r>
              <w:rPr>
                <w:sz w:val="20"/>
                <w:szCs w:val="20"/>
              </w:rPr>
              <w:t xml:space="preserve">Aucun export, téléchargement ni impression du contenu premium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Tenter l’impression et l’enregistrement de la page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t xml:space="preserve">2.3 Ordre de traitement et langues (CDC §4.2, §7)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200"/>
        <w:gridCol w:w="800"/>
      </w:tblGrid>
      <w:tr>
        <w:trPr>
          <w:tblHeader/>
        </w:trPr>
        <w:tc>
          <w:tcPr>
            <w:tcW w:type="dxa" w:w="4600"/>
            <w:shd w:fill="1F4E5F" w:color="auto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4200"/>
            <w:shd w:fill="1F4E5F" w:color="auto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 vérifier</w:t>
            </w:r>
          </w:p>
        </w:tc>
        <w:tc>
          <w:tcPr>
            <w:tcW w:type="dxa" w:w="800"/>
            <w:shd w:fill="1F4E5F" w:color="auto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4600"/>
          </w:tcPr>
          <w:p>
            <w:r>
              <w:rPr>
                <w:sz w:val="20"/>
                <w:szCs w:val="20"/>
              </w:rPr>
              <w:t xml:space="preserve">La file de travail et l’import sont triés du plus récent au plus ancien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Contrôle de la file et du compte rendu de session de la routine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6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Une fiche française validée peut être publiée sans attendre l’anglais</w:t>
            </w:r>
          </w:p>
        </w:tc>
        <w:tc>
          <w:tcPr>
            <w:tcW w:type="dxa" w:w="42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Test sur une fiche de test</w:t>
            </w:r>
          </w:p>
        </w:tc>
        <w:tc>
          <w:tcPr>
            <w:tcW w:type="dxa" w:w="8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600"/>
          </w:tcPr>
          <w:p>
            <w:r>
              <w:rPr>
                <w:sz w:val="20"/>
                <w:szCs w:val="20"/>
              </w:rPr>
              <w:t xml:space="preserve">La version anglaise n’est publiée qu’après relecture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Test sur une fiche de test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t xml:space="preserve">2.4 Qualité et corrections (CDC §9.3, §9.4)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200"/>
        <w:gridCol w:w="800"/>
      </w:tblGrid>
      <w:tr>
        <w:trPr>
          <w:tblHeader/>
        </w:trPr>
        <w:tc>
          <w:tcPr>
            <w:tcW w:type="dxa" w:w="4600"/>
            <w:shd w:fill="1F4E5F" w:color="auto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4200"/>
            <w:shd w:fill="1F4E5F" w:color="auto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 vérifier</w:t>
            </w:r>
          </w:p>
        </w:tc>
        <w:tc>
          <w:tcPr>
            <w:tcW w:type="dxa" w:w="800"/>
            <w:shd w:fill="1F4E5F" w:color="auto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4600"/>
          </w:tcPr>
          <w:p>
            <w:r>
              <w:rPr>
                <w:sz w:val="20"/>
                <w:szCs w:val="20"/>
              </w:rPr>
              <w:t xml:space="preserve">Un signalement d’erreur est enregistré et visible dans le back-office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Signaler une erreur depuis une fiche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6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Une erreur critique peut entraîner une dépublication immédiate</w:t>
            </w:r>
          </w:p>
        </w:tc>
        <w:tc>
          <w:tcPr>
            <w:tcW w:type="dxa" w:w="42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Test de dépublication</w:t>
            </w:r>
          </w:p>
        </w:tc>
        <w:tc>
          <w:tcPr>
            <w:tcW w:type="dxa" w:w="8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600"/>
          </w:tcPr>
          <w:p>
            <w:r>
              <w:rPr>
                <w:sz w:val="20"/>
                <w:szCs w:val="20"/>
              </w:rPr>
              <w:t xml:space="preserve">La correction apparaît dans le journal public, sans donnée personnelle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Corriger une fiche de test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t xml:space="preserve">3. Veille et e-mails</w:t>
      </w:r>
    </w:p>
    <w:p>
      <w:pPr>
        <w:pStyle w:val="Heading2"/>
        <w:spacing w:after="120" w:before="260"/>
      </w:pPr>
      <w:r>
        <w:t xml:space="preserve">3.1 Cycle mensuel (CDC §8)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200"/>
        <w:gridCol w:w="800"/>
      </w:tblGrid>
      <w:tr>
        <w:trPr>
          <w:tblHeader/>
        </w:trPr>
        <w:tc>
          <w:tcPr>
            <w:tcW w:type="dxa" w:w="4600"/>
            <w:shd w:fill="1F4E5F" w:color="auto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4200"/>
            <w:shd w:fill="1F4E5F" w:color="auto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 vérifier</w:t>
            </w:r>
          </w:p>
        </w:tc>
        <w:tc>
          <w:tcPr>
            <w:tcW w:type="dxa" w:w="800"/>
            <w:shd w:fill="1F4E5F" w:color="auto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4600"/>
          </w:tcPr>
          <w:p>
            <w:r>
              <w:rPr>
                <w:sz w:val="20"/>
                <w:szCs w:val="20"/>
              </w:rPr>
              <w:t xml:space="preserve">Un cycle complet a été exécuté sur l’environnement de test : détection, brouillons français et anglais, validation, e-mail, compte rendu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Journal watch_runs + e-mail d’essai reçu par l’administrateur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6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Aucun e-mail n’est envoyé aux membres sans validation humaine</w:t>
            </w:r>
          </w:p>
        </w:tc>
        <w:tc>
          <w:tcPr>
            <w:tcW w:type="dxa" w:w="42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Vérifier qu’un brouillon non validé ne déclenche aucun envoi</w:t>
            </w:r>
          </w:p>
        </w:tc>
        <w:tc>
          <w:tcPr>
            <w:tcW w:type="dxa" w:w="8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600"/>
          </w:tcPr>
          <w:p>
            <w:r>
              <w:rPr>
                <w:sz w:val="20"/>
                <w:szCs w:val="20"/>
              </w:rPr>
              <w:t xml:space="preserve">Mois sans nouveauté : aucun e-mail aux membres, compte rendu envoyé au porteur de projet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Simulation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6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L’e-mail contient le lien vers la fiche sur le site et le lien vers la source</w:t>
            </w:r>
          </w:p>
        </w:tc>
        <w:tc>
          <w:tcPr>
            <w:tcW w:type="dxa" w:w="42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Lecture de l’e-mail d’essai</w:t>
            </w:r>
          </w:p>
        </w:tc>
        <w:tc>
          <w:tcPr>
            <w:tcW w:type="dxa" w:w="8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600"/>
          </w:tcPr>
          <w:p>
            <w:r>
              <w:rPr>
                <w:sz w:val="20"/>
                <w:szCs w:val="20"/>
              </w:rPr>
              <w:t xml:space="preserve">Lien de désinscription fonctionnel et préférence respectée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Se désinscrire puis relancer un envoi d’essai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6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Alerte envoyée quand une fiche consultée ou favorite est mise à jour</w:t>
            </w:r>
          </w:p>
        </w:tc>
        <w:tc>
          <w:tcPr>
            <w:tcW w:type="dxa" w:w="42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Mettre à jour une fiche de test</w:t>
            </w:r>
          </w:p>
        </w:tc>
        <w:tc>
          <w:tcPr>
            <w:tcW w:type="dxa" w:w="8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600"/>
          </w:tcPr>
          <w:p>
            <w:r>
              <w:rPr>
                <w:sz w:val="20"/>
                <w:szCs w:val="20"/>
              </w:rPr>
              <w:t xml:space="preserve">Capacité du service d’envoi adaptée au nombre de membres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Vérifier l’offre Resend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t xml:space="preserve">4. Paiement, facturation et offres</w:t>
      </w:r>
    </w:p>
    <w:p>
      <w:pPr>
        <w:pStyle w:val="Heading2"/>
        <w:spacing w:after="120" w:before="260"/>
      </w:pPr>
      <w:r>
        <w:t xml:space="preserve">4.1 Paiement (CDC §10)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200"/>
        <w:gridCol w:w="800"/>
      </w:tblGrid>
      <w:tr>
        <w:trPr>
          <w:tblHeader/>
        </w:trPr>
        <w:tc>
          <w:tcPr>
            <w:tcW w:type="dxa" w:w="4600"/>
            <w:shd w:fill="1F4E5F" w:color="auto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4200"/>
            <w:shd w:fill="1F4E5F" w:color="auto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 vérifier</w:t>
            </w:r>
          </w:p>
        </w:tc>
        <w:tc>
          <w:tcPr>
            <w:tcW w:type="dxa" w:w="800"/>
            <w:shd w:fill="1F4E5F" w:color="auto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4600"/>
          </w:tcPr>
          <w:p>
            <w:r>
              <w:rPr>
                <w:sz w:val="20"/>
                <w:szCs w:val="20"/>
              </w:rPr>
              <w:t xml:space="preserve">Paiement annuel de 50 € TTC en mode test Stripe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Test automatique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6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Facture conforme avec identité de l’éditeur, SIREN et TVA selon le pays</w:t>
            </w:r>
          </w:p>
        </w:tc>
        <w:tc>
          <w:tcPr>
            <w:tcW w:type="dxa" w:w="42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Paiement test depuis la France et depuis un autre pays de l’UE, avec et sans numéro de TVA</w:t>
            </w:r>
          </w:p>
        </w:tc>
        <w:tc>
          <w:tcPr>
            <w:tcW w:type="dxa" w:w="8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600"/>
          </w:tcPr>
          <w:p>
            <w:r>
              <w:rPr>
                <w:sz w:val="20"/>
                <w:szCs w:val="20"/>
              </w:rPr>
              <w:t xml:space="preserve">CGV acceptées par case à cocher ; version et date conservées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Contrôle en base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6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Case distincte de renonciation au droit de rétractation, confirmée dans l’e-mail de commande</w:t>
            </w:r>
          </w:p>
        </w:tc>
        <w:tc>
          <w:tcPr>
            <w:tcW w:type="dxa" w:w="42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Test manuel</w:t>
            </w:r>
          </w:p>
        </w:tc>
        <w:tc>
          <w:tcPr>
            <w:tcW w:type="dxa" w:w="8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600"/>
          </w:tcPr>
          <w:p>
            <w:r>
              <w:rPr>
                <w:sz w:val="20"/>
                <w:szCs w:val="20"/>
              </w:rPr>
              <w:t xml:space="preserve">Résiliation : accès maintenu jusqu’à la fin de l’année payée, puis retour au gratuit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Simulation de fin de période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6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Hausse de tarif : e-mail 30 jours avant le renouvellement avec lien de résiliation</w:t>
            </w:r>
          </w:p>
        </w:tc>
        <w:tc>
          <w:tcPr>
            <w:tcW w:type="dxa" w:w="42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Simulation</w:t>
            </w:r>
          </w:p>
        </w:tc>
        <w:tc>
          <w:tcPr>
            <w:tcW w:type="dxa" w:w="8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t xml:space="preserve">4.2 Réductions (CDC §10.2)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200"/>
        <w:gridCol w:w="800"/>
      </w:tblGrid>
      <w:tr>
        <w:trPr>
          <w:tblHeader/>
        </w:trPr>
        <w:tc>
          <w:tcPr>
            <w:tcW w:type="dxa" w:w="4600"/>
            <w:shd w:fill="1F4E5F" w:color="auto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4200"/>
            <w:shd w:fill="1F4E5F" w:color="auto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 vérifier</w:t>
            </w:r>
          </w:p>
        </w:tc>
        <w:tc>
          <w:tcPr>
            <w:tcW w:type="dxa" w:w="800"/>
            <w:shd w:fill="1F4E5F" w:color="auto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4600"/>
          </w:tcPr>
          <w:p>
            <w:r>
              <w:rPr>
                <w:sz w:val="20"/>
                <w:szCs w:val="20"/>
              </w:rPr>
              <w:t xml:space="preserve">Code FONDATEURS : -30 % la 1ʳᵉ année, refusé après 100 utilisations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Test automatique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6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Code étudiant personnel : -30 %, usage unique</w:t>
            </w:r>
          </w:p>
        </w:tc>
        <w:tc>
          <w:tcPr>
            <w:tcW w:type="dxa" w:w="42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Test automatique</w:t>
            </w:r>
          </w:p>
        </w:tc>
        <w:tc>
          <w:tcPr>
            <w:tcW w:type="dxa" w:w="8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600"/>
          </w:tcPr>
          <w:p>
            <w:r>
              <w:rPr>
                <w:sz w:val="20"/>
                <w:szCs w:val="20"/>
              </w:rPr>
              <w:t xml:space="preserve">Non-cumul : une seule réduction appliquée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Tenter deux codes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6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Renouvellement au tarif normal alors en vigueur</w:t>
            </w:r>
          </w:p>
        </w:tc>
        <w:tc>
          <w:tcPr>
            <w:tcW w:type="dxa" w:w="42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Simulation</w:t>
            </w:r>
          </w:p>
        </w:tc>
        <w:tc>
          <w:tcPr>
            <w:tcW w:type="dxa" w:w="8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t xml:space="preserve">5. Conformité et sécurité</w:t>
      </w:r>
    </w:p>
    <w:p>
      <w:pPr>
        <w:pStyle w:val="Heading2"/>
        <w:spacing w:after="120" w:before="260"/>
      </w:pPr>
      <w:r>
        <w:t xml:space="preserve">5.1 Mentions légales et RGPD (CDC §12)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200"/>
        <w:gridCol w:w="800"/>
      </w:tblGrid>
      <w:tr>
        <w:trPr>
          <w:tblHeader/>
        </w:trPr>
        <w:tc>
          <w:tcPr>
            <w:tcW w:type="dxa" w:w="4600"/>
            <w:shd w:fill="1F4E5F" w:color="auto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4200"/>
            <w:shd w:fill="1F4E5F" w:color="auto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 vérifier</w:t>
            </w:r>
          </w:p>
        </w:tc>
        <w:tc>
          <w:tcPr>
            <w:tcW w:type="dxa" w:w="800"/>
            <w:shd w:fill="1F4E5F" w:color="auto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4600"/>
          </w:tcPr>
          <w:p>
            <w:r>
              <w:rPr>
                <w:sz w:val="20"/>
                <w:szCs w:val="20"/>
              </w:rPr>
              <w:t xml:space="preserve">Vérification finale des informations légales de l’éditeur (Kbis à jour)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Contrôle par le porteur de projet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6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Page « Mentions légales » publiée et complète</w:t>
            </w:r>
          </w:p>
        </w:tc>
        <w:tc>
          <w:tcPr>
            <w:tcW w:type="dxa" w:w="42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Lecture de la page</w:t>
            </w:r>
          </w:p>
        </w:tc>
        <w:tc>
          <w:tcPr>
            <w:tcW w:type="dxa" w:w="8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600"/>
          </w:tcPr>
          <w:p>
            <w:r>
              <w:rPr>
                <w:sz w:val="20"/>
                <w:szCs w:val="20"/>
              </w:rPr>
              <w:t xml:space="preserve">Adresse contact@medical-guidelines.net opérationnelle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Envoyer un e-mail de test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6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Politique de confidentialité : sous-traitants et localisation listés</w:t>
            </w:r>
          </w:p>
        </w:tc>
        <w:tc>
          <w:tcPr>
            <w:tcW w:type="dxa" w:w="42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Lecture de la page</w:t>
            </w:r>
          </w:p>
        </w:tc>
        <w:tc>
          <w:tcPr>
            <w:tcW w:type="dxa" w:w="8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600"/>
          </w:tcPr>
          <w:p>
            <w:r>
              <w:rPr>
                <w:sz w:val="20"/>
                <w:szCs w:val="20"/>
              </w:rPr>
              <w:t xml:space="preserve">« Mon compte » : rectification, retrait du consentement, export, suppression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Test manuel (en production depuis le 28/09/2026)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6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Mesure d’audience sans cookies ; aucune ressource chargée depuis un service tiers sans nécessité</w:t>
            </w:r>
          </w:p>
        </w:tc>
        <w:tc>
          <w:tcPr>
            <w:tcW w:type="dxa" w:w="42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Outils de développement du navigateur : aucun cookie de mesure, aucun appel à Google Fonts</w:t>
            </w:r>
          </w:p>
        </w:tc>
        <w:tc>
          <w:tcPr>
            <w:tcW w:type="dxa" w:w="8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600"/>
          </w:tcPr>
          <w:p>
            <w:r>
              <w:rPr>
                <w:sz w:val="20"/>
                <w:szCs w:val="20"/>
              </w:rPr>
              <w:t xml:space="preserve">CGV validées par un conseil juridique ; médiateur de la consommation désigné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Document signé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t xml:space="preserve">5.2 Sécurité (ST §5, §6)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200"/>
        <w:gridCol w:w="800"/>
      </w:tblGrid>
      <w:tr>
        <w:trPr>
          <w:tblHeader/>
        </w:trPr>
        <w:tc>
          <w:tcPr>
            <w:tcW w:type="dxa" w:w="4600"/>
            <w:shd w:fill="1F4E5F" w:color="auto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4200"/>
            <w:shd w:fill="1F4E5F" w:color="auto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 vérifier</w:t>
            </w:r>
          </w:p>
        </w:tc>
        <w:tc>
          <w:tcPr>
            <w:tcW w:type="dxa" w:w="800"/>
            <w:shd w:fill="1F4E5F" w:color="auto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4600"/>
          </w:tcPr>
          <w:p>
            <w:r>
              <w:rPr>
                <w:sz w:val="20"/>
                <w:szCs w:val="20"/>
              </w:rPr>
              <w:t xml:space="preserve">En-têtes de sécurité présents sur toutes les pages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Test automatique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6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Analyse de sécurité Supabase sans alerte nouvelle</w:t>
            </w:r>
          </w:p>
        </w:tc>
        <w:tc>
          <w:tcPr>
            <w:tcW w:type="dxa" w:w="42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Revue mensuelle</w:t>
            </w:r>
          </w:p>
        </w:tc>
        <w:tc>
          <w:tcPr>
            <w:tcW w:type="dxa" w:w="8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600"/>
          </w:tcPr>
          <w:p>
            <w:r>
              <w:rPr>
                <w:sz w:val="20"/>
                <w:szCs w:val="20"/>
              </w:rPr>
              <w:t xml:space="preserve">Détection d’extraction : blocage temporaire après un rythme anormal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Simulation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6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Dépôts de code privés</w:t>
            </w:r>
          </w:p>
        </w:tc>
        <w:tc>
          <w:tcPr>
            <w:tcW w:type="dxa" w:w="42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Contrôle GitHub</w:t>
            </w:r>
          </w:p>
        </w:tc>
        <w:tc>
          <w:tcPr>
            <w:tcW w:type="dxa" w:w="8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t xml:space="preserve">6. Exploitation</w:t>
      </w:r>
    </w:p>
    <w:p>
      <w:pPr>
        <w:pStyle w:val="Heading2"/>
        <w:spacing w:after="120" w:before="260"/>
      </w:pPr>
      <w:r>
        <w:t xml:space="preserve">6.1 Environnements et surveillance (ST §7)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200"/>
        <w:gridCol w:w="800"/>
      </w:tblGrid>
      <w:tr>
        <w:trPr>
          <w:tblHeader/>
        </w:trPr>
        <w:tc>
          <w:tcPr>
            <w:tcW w:type="dxa" w:w="4600"/>
            <w:shd w:fill="1F4E5F" w:color="auto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4200"/>
            <w:shd w:fill="1F4E5F" w:color="auto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 vérifier</w:t>
            </w:r>
          </w:p>
        </w:tc>
        <w:tc>
          <w:tcPr>
            <w:tcW w:type="dxa" w:w="800"/>
            <w:shd w:fill="1F4E5F" w:color="auto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4600"/>
          </w:tcPr>
          <w:p>
            <w:r>
              <w:rPr>
                <w:sz w:val="20"/>
                <w:szCs w:val="20"/>
              </w:rPr>
              <w:t xml:space="preserve">Supabase en offre payante (pas de mise en pause, sauvegardes)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Tableau de bord Supabase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6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Restauration d’une sauvegarde testée et documentée</w:t>
            </w:r>
          </w:p>
        </w:tc>
        <w:tc>
          <w:tcPr>
            <w:tcW w:type="dxa" w:w="42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Procédure de test</w:t>
            </w:r>
          </w:p>
        </w:tc>
        <w:tc>
          <w:tcPr>
            <w:tcW w:type="dxa" w:w="8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600"/>
          </w:tcPr>
          <w:p>
            <w:r>
              <w:rPr>
                <w:sz w:val="20"/>
                <w:szCs w:val="20"/>
              </w:rPr>
              <w:t xml:space="preserve">Une panne simulée déclenche une alerte e-mail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Couper l’environnement de test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6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Une erreur simulée remonte dans Sentry</w:t>
            </w:r>
          </w:p>
        </w:tc>
        <w:tc>
          <w:tcPr>
            <w:tcW w:type="dxa" w:w="42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Erreur de test</w:t>
            </w:r>
          </w:p>
        </w:tc>
        <w:tc>
          <w:tcPr>
            <w:tcW w:type="dxa" w:w="8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600"/>
          </w:tcPr>
          <w:p>
            <w:r>
              <w:rPr>
                <w:sz w:val="20"/>
                <w:szCs w:val="20"/>
              </w:rPr>
              <w:t xml:space="preserve">Tests de bout en bout et intégration continue au vert avant mise en production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6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Connecteur Vercel autorisé pour la supervision</w:t>
            </w:r>
          </w:p>
        </w:tc>
        <w:tc>
          <w:tcPr>
            <w:tcW w:type="dxa" w:w="42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Test de lecture des déploiements</w:t>
            </w:r>
          </w:p>
        </w:tc>
        <w:tc>
          <w:tcPr>
            <w:tcW w:type="dxa" w:w="8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t xml:space="preserve">6.2 Organisation (CDC §14)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200"/>
        <w:gridCol w:w="800"/>
      </w:tblGrid>
      <w:tr>
        <w:trPr>
          <w:tblHeader/>
        </w:trPr>
        <w:tc>
          <w:tcPr>
            <w:tcW w:type="dxa" w:w="4600"/>
            <w:shd w:fill="1F4E5F" w:color="auto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4200"/>
            <w:shd w:fill="1F4E5F" w:color="auto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 vérifier</w:t>
            </w:r>
          </w:p>
        </w:tc>
        <w:tc>
          <w:tcPr>
            <w:tcW w:type="dxa" w:w="800"/>
            <w:shd w:fill="1F4E5F" w:color="auto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4600"/>
          </w:tcPr>
          <w:p>
            <w:r>
              <w:rPr>
                <w:sz w:val="20"/>
                <w:szCs w:val="20"/>
              </w:rPr>
              <w:t xml:space="preserve">Chaque dépôt ne compte que main + au plus une branche de travail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Contrôle GitHub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6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Rendez-vous hebdomadaire en place, avec synthèse de la routine</w:t>
            </w:r>
          </w:p>
        </w:tc>
        <w:tc>
          <w:tcPr>
            <w:tcW w:type="dxa" w:w="42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Première synthèse reçue</w:t>
            </w:r>
          </w:p>
        </w:tc>
        <w:tc>
          <w:tcPr>
            <w:tcW w:type="dxa" w:w="8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600"/>
          </w:tcPr>
          <w:p>
            <w:r>
              <w:rPr>
                <w:sz w:val="20"/>
                <w:szCs w:val="20"/>
              </w:rPr>
              <w:t xml:space="preserve">Mesure du tunnel de conversion opérationnelle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Tableau de bord d’audience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t xml:space="preserve">Validation finale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000"/>
        <w:gridCol w:w="2400"/>
      </w:tblGrid>
      <w:tr>
        <w:trPr>
          <w:tblHeader/>
        </w:trPr>
        <w:tc>
          <w:tcPr>
            <w:tcW w:type="dxa" w:w="5200"/>
            <w:shd w:fill="1F4E5F" w:color="auto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2000"/>
            <w:shd w:fill="1F4E5F" w:color="auto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shd w:fill="1F4E5F" w:color="auto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5200"/>
          </w:tcPr>
          <w:p>
            <w:r>
              <w:rPr>
                <w:sz w:val="20"/>
                <w:szCs w:val="20"/>
              </w:rPr>
              <w:t xml:space="preserve">Recette sur l’environnement de test terminée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Mise en production du MVP</w:t>
            </w:r>
          </w:p>
        </w:tc>
        <w:tc>
          <w:tcPr>
            <w:tcW w:type="dxa" w:w="20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0"/>
          </w:tcPr>
          <w:p>
            <w:r>
              <w:rPr>
                <w:sz w:val="20"/>
                <w:szCs w:val="20"/>
              </w:rPr>
              <w:t xml:space="preserve">Contrôle en production terminé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>Ouverture commerciale</w:t>
            </w:r>
          </w:p>
        </w:tc>
        <w:tc>
          <w:tcPr>
            <w:tcW w:type="dxa" w:w="20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shd w:fill="EAF1F4" w:color="auto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/ </w:t>
    </w:r>
    <w:r>
      <w:rPr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medical-guidelines.net — Checklist de recette V4.5 (3/3)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1F4E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b/>
      <w:bCs/>
      <w:color w:val="1F4E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de recette — medical-guidelines.net — V4.5</dc:title>
  <dc:creator>medical-guidelines.net</dc:creator>
  <cp:lastModifiedBy>Un-named</cp:lastModifiedBy>
  <cp:revision>1</cp:revision>
  <dcterms:created xsi:type="dcterms:W3CDTF">2026-09-13T18:21:32.323Z</dcterms:created>
  <dcterms:modified xsi:type="dcterms:W3CDTF">2026-09-28T18:00:00Z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