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2024 Financial Report</w:t>
      </w:r>
    </w:p>
    <w:p>
      <w:r>
        <w:t>Report ID: FIN-Q3-2024</w:t>
      </w:r>
    </w:p>
    <w:p>
      <w:r>
        <w:t>Prepared by: Sarah Chen, CFO</w:t>
      </w:r>
    </w:p>
    <w:p>
      <w:r>
        <w:t>Date: October 15, 2024</w:t>
      </w:r>
    </w:p>
    <w:p>
      <w:pPr>
        <w:pStyle w:val="Heading2"/>
      </w:pPr>
      <w:r>
        <w:t>Revenue Summary</w:t>
      </w:r>
    </w:p>
    <w:p>
      <w:r>
        <w:t>Total revenue for Q3 2024 reached $47.3 million, representing a 12% increase over Q3 2023. The Enterprise Solutions division contributed $28.1 million, while the SMB segment generated $19.2 million. The APAC region showed the strongest growth at 23%, driven by new partnerships in Japan and South Korea.</w:t>
      </w:r>
    </w:p>
    <w:p>
      <w:pPr>
        <w:pStyle w:val="Heading2"/>
      </w:pPr>
      <w:r>
        <w:t>Operating Expenses</w:t>
      </w:r>
    </w:p>
    <w:p>
      <w:r>
        <w:t>Total operating expenses were $38.7 million, with R&amp;D spending at $15.2 million (32% of revenue). Sales and marketing expenses decreased to $12.8 million from $14.1 million in Q2, reflecting improved efficiency in the digital acquisition channels. General and administrative costs held steady at $10.7 million.</w:t>
      </w:r>
    </w:p>
    <w:p>
      <w:pPr>
        <w:pStyle w:val="Heading2"/>
      </w:pPr>
      <w:r>
        <w:t>Key Metrics</w:t>
      </w:r>
    </w:p>
    <w:p>
      <w:r>
        <w:t>Customer acquisition cost (CAC) decreased from $847 to $723, a 14.6% improvement. Net revenue retention rate improved to 118% from 112% in the prior quarter. The Falcon Project, our next-generation analytics platform, is on track for beta release in Q1 2025 with an allocated budget of $4.2 million.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