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Remote Work Policy</w:t>
      </w:r>
    </w:p>
    <w:p>
      <w:r>
        <w:t>Policy Number: POL-2024-0847</w:t>
      </w:r>
    </w:p>
    <w:p>
      <w:r>
        <w:t>Effective Date: January 15, 2024</w:t>
      </w:r>
    </w:p>
    <w:p>
      <w:r>
        <w:t>Department: Human Resources</w:t>
      </w:r>
    </w:p>
    <w:p>
      <w:pPr>
        <w:pStyle w:val="Heading2"/>
      </w:pPr>
      <w:r>
        <w:t>Section 1: Eligibility</w:t>
      </w:r>
    </w:p>
    <w:p>
      <w:r>
        <w:t>All full-time employees who have completed their probationary period of 90 days are eligible to apply for remote work arrangements. Contractors and part-time employees must obtain written approval from their department head and the VP of Operations before requesting remote work status.</w:t>
      </w:r>
    </w:p>
    <w:p>
      <w:pPr>
        <w:pStyle w:val="Heading2"/>
      </w:pPr>
      <w:r>
        <w:t>Section 2: Equipment and Expenses</w:t>
      </w:r>
    </w:p>
    <w:p>
      <w:r>
        <w:t>The company will provide a one-time stipend of $1,500 for home office setup. This covers ergonomic furniture, monitors, and peripherals. Employees must submit receipts within 60 days of purchase. Internet reimbursement of up to $75 per month is available upon submission of monthly invoices to the Finance department.</w:t>
      </w:r>
    </w:p>
    <w:p>
      <w:pPr>
        <w:pStyle w:val="Heading2"/>
      </w:pPr>
      <w:r>
        <w:t>Section 3: Performance Monitoring</w:t>
      </w:r>
    </w:p>
    <w:p>
      <w:r>
        <w:t>Remote employees are required to maintain a minimum productivity score of 85% as measured by the quarterly OKR review process. Managers must conduct weekly one-on-one check-ins via video call. Failure to meet performance targets for two consecutive quarters may result in revocation of remote work privileges.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