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 Agreement</w:t>
      </w:r>
    </w:p>
    <w:p>
      <w:r>
        <w:t>Contract Number: MSA-2024-1192</w:t>
      </w:r>
    </w:p>
    <w:p>
      <w:r>
        <w:t>Between: Acme Corporation ('Client') and CloudScale Inc. ('Provider')</w:t>
      </w:r>
    </w:p>
    <w:p>
      <w:r>
        <w:t>Effective Date: March 1, 2024</w:t>
      </w:r>
    </w:p>
    <w:p>
      <w:pPr>
        <w:pStyle w:val="Heading2"/>
      </w:pPr>
      <w:r>
        <w:t>Section 4.2.1: Data Processing</w:t>
      </w:r>
    </w:p>
    <w:p>
      <w:r>
        <w:t>The Provider shall process all Client data exclusively within data centers located in the United States and European Union. Any transfer of data to facilities outside these regions requires prior written consent from the Client's Data Protection Officer. The Provider must maintain SOC 2 Type II certification and undergo annual third-party security audits.</w:t>
      </w:r>
    </w:p>
    <w:p>
      <w:pPr>
        <w:pStyle w:val="Heading2"/>
      </w:pPr>
      <w:r>
        <w:t>Section 5.1: Service Level Agreement</w:t>
      </w:r>
    </w:p>
    <w:p>
      <w:r>
        <w:t>The Provider guarantees 99.95% uptime for all production services, measured monthly. Scheduled maintenance windows are limited to Sundays between 02:00-06:00 UTC. For each 0.1% below the guaranteed uptime, the Client receives a 5% credit on the monthly service fee, up to a maximum of 30% of the monthly fee.</w:t>
      </w:r>
    </w:p>
    <w:p>
      <w:pPr>
        <w:pStyle w:val="Heading2"/>
      </w:pPr>
      <w:r>
        <w:t>Section 7.3: Termination</w:t>
      </w:r>
    </w:p>
    <w:p>
      <w:r>
        <w:t>Either party may terminate this agreement with 90 days written notice. Upon termination, the Provider must return or destroy all Client data within 30 days and provide written certification of data destruction. The Provider will assist with data migration to a successor provider for up to 60 days at standard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