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 and non-destructive vibrational technique capable of resolving subtle molecular-level changes in materials. It has become one of the most widely used analytical techniques for the structural characterization of soft matter systems such as liquid crystalline (LC) materials [1,2]. However, the Raman spectra collected from complex supramolecular assemblies are rarely straightforward to interpret, because the spectral differences induced by changes in molecular packing, surface interaction, and interfacial chemistry are frequently small, overlapping, and embedded within highly correlated, high-dimensional data [1,2]. Conventional characterization approaches based on visual comparison of spectra or manual peak fitting are inherently operator-dependent and may fail to capture variations that do not produce obvious differences in peak position or intensity [3]. Machine learning (ML) and chemometric methods have therefore emerged as powerful complements to conventional spectral analysis, enabling extraction of discriminative information from datasets where the number of spectral variables vastly exceeds the number of independent samples [1,4].</w:t>
      </w:r>
      <w:r w:rsidR="00C036A5"/>
      <w:r/>
      <w:r w:rsidR="00C036A5"/>
      <w:r/>
      <w:r w:rsidR="00C036A5"/>
      <w:r/>
      <w:r w:rsidR="00C036A5"/>
      <w:r/>
      <w:r w:rsidR="00C036A5"/>
      <w:r/>
      <w:r w:rsidR="00C036A5"/>
      <w:r w:rsidR="0051712A"/>
      <w:r/>
      <w:r w:rsidR="0051712A"/>
      <w:r/>
      <w:r w:rsidR="0051712A"/>
      <w:r/>
      <w:r w:rsidR="0051712A"/>
      <w:r/>
      <w:r w:rsidRPr="00177A2F">
        <w:rPr>
          <w:color w:val="0070C0"/>
        </w:rPr>
      </w:r>
      <w:r/>
      <w:r w:rsidRPr="00177A2F">
        <w:rPr>
          <w:color w:val="0070C0"/>
        </w:rPr>
      </w:r>
      <w:r/>
      <w:r w:rsidR="0051712A"/>
      <w:r/>
      <w:r w:rsidR="0022268E"/>
      <w:r/>
      <w:r w:rsidR="0022268E"/>
      <w:r/>
      <w:r w:rsidR="0022268E"/>
      <w:r/>
      <w:r w:rsidRPr="00177A2F">
        <w:rPr>
          <w:color w:val="0070C0"/>
        </w:rPr>
      </w:r>
      <w:r w:rsidRPr="00177A2F"/>
      <w:r/>
      <w:r w:rsidR="00592E0C"/>
      <w:r w:rsidR="00592E0C" w:rsidRPr="00177A2F">
        <w:rPr>
          <w:color w:val="0070C0"/>
        </w:rPr>
      </w:r>
      <w:r w:rsidR="00592E0C"/>
      <w:r w:rsidR="00592E0C" w:rsidRPr="00177A2F">
        <w:rPr>
          <w:color w:val="0070C0"/>
        </w:rPr>
      </w:r>
      <w:r w:rsidR="00592E0C"/>
    </w:p>
    <w:p>
      <w:r>
        <w:t>Lyotropic chromonic liquid crystals (LCLCs) are a fascinating class of soft matter in which plank-like aromatic molecules — including dyes, drug compounds, and nucleic acid derivatives — self-assemble in water into elongated, non-covalently bound columnar stacks [15]. Unlike conventional amphiphilic systems, LCLCs are intrinsically biocompatible, water-processable, and highly sensitive to ionic strength and interfacial conditions. These properties make them compelling candidates for biosensing platforms, water-based organic electronics, and optical alignment layers [15,16]. In particular, the controlled alignment of LCLC films on technologically relevant substrates is fundamental for device applications [17]. The vibrational fingerprints of LCLC molecules are sensitive not only to their intrinsic chemical structure but also to their local packing environment, intermolecular interactions and degree of orientational order, making Raman spectroscopy a particularly informative probe of their supramolecular organisation [18,19].</w:t>
      </w:r>
    </w:p>
    <w:p w14:paraId="1E370551" w14:textId="7415C296" w:rsidR="00602CB1" w:rsidRDefault="00A33580">
      <w:pPr>
        <w:spacing w:after="200"/>
        <w:jc w:val="both"/>
      </w:pPr>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is not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diverse substrate configurations, and its vibrational fingerprint is directly sensitive to changes in molecular packing, intermolecular interactions and orientational order within chromonic aggregates [18,19]. Previous studies have reported orientational order parameters and self-assembly kinetics of chromonic dyes in aqueous solution using Raman spectroscopy, demonstrating its sensitivity to supramolecular organisation well beyond nominal chemical composition [18,19]. Despite this clear advantage, the application of Raman spectroscopy to substrate-resolved discrimination of LCLC organisation on technologically relevant surfaces remains largely unexplored. The key unresolved challenge is that the spectral differences imparted by substrate chemistry or the presence of a graphene interlayer are subtle, invisible to unaided visual inspection, and embedded within a highly correlated high-dimensional dataset that demands ML-based analysis.</w:t>
      </w:r>
      <w:r w:rsidRPr="00EC1A72"/>
      <w:r/>
      <w:r w:rsidRPr="00EC1A72"/>
      <w:r w:rsidR="005B309E"/>
      <w:r/>
      <w:r w:rsidRPr="00EC1A72"/>
      <w:r/>
      <w:r w:rsidRPr="00EC1A72"/>
      <w:r/>
      <w:r w:rsidRPr="00EC1A72"/>
      <w:r w:rsidR="00177A2F">
        <w:rPr>
          <w:color w:val="0070C0"/>
        </w:rPr>
      </w:r>
      <w:r w:rsidRPr="00EC1A72"/>
      <w:r w:rsidR="00177A2F">
        <w:rPr>
          <w:color w:val="0070C0"/>
        </w:rPr>
      </w:r>
      <w:r w:rsidRPr="00EC1A72"/>
      <w:r/>
      <w:r w:rsidRPr="00A33580"/>
      <w:r w:rsidRPr="00EC1A72"/>
      <w:r w:rsidRPr="004930F8"/>
      <w:r w:rsidR="00455CA9" w:rsidRPr="004930F8"/>
      <w:r w:rsidR="005B1C76"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r w:rsidR="00455CA9" w:rsidRPr="004930F8"/>
      <w:r w:rsidRPr="004930F8"/>
      <w:r w:rsidR="00177A2F"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proofErr w:type="spellStart"/>
      <w:r w:rsidRPr="004930F8"/>
      <w:proofErr w:type="spellEnd"/>
      <w:r w:rsidRPr="004930F8"/>
      <w:r w:rsidR="00177A2F" w:rsidRPr="004930F8">
        <w:rPr>
          <w:color w:val="0070C0"/>
        </w:rPr>
      </w:r>
      <w:r w:rsidR="00455CA9" w:rsidRPr="004930F8"/>
      <w:r w:rsidRPr="004930F8"/>
      <w:r w:rsidR="00A049A0" w:rsidRPr="004930F8"/>
      <w:r w:rsidRPr="004930F8"/>
      <w:r w:rsidR="00A049A0" w:rsidRPr="004930F8"/>
      <w:r w:rsidRPr="004930F8"/>
      <w:r w:rsidR="00A049A0" w:rsidRPr="004930F8"/>
      <w:r w:rsidRPr="004930F8"/>
      <w:r w:rsidR="00A049A0" w:rsidRPr="004930F8"/>
      <w:r w:rsidRPr="004930F8"/>
      <w:r w:rsidR="00592E0C" w:rsidRPr="004930F8"/>
      <w:r w:rsidR="00A049A0" w:rsidRPr="004930F8"/>
      <w:r w:rsidRPr="004930F8"/>
      <w:r w:rsidR="00A049A0" w:rsidRPr="004930F8"/>
      <w:r w:rsidRPr="004930F8"/>
      <w:r w:rsidR="00A049A0" w:rsidRPr="004930F8"/>
      <w:r w:rsidR="00592E0C" w:rsidRPr="004930F8"/>
      <w:r w:rsidR="00A049A0" w:rsidRPr="004930F8"/>
      <w:r w:rsidRPr="004930F8"/>
      <w:r w:rsidRPr="004930F8">
        <w:rPr>
          <w:color w:val="0070C0"/>
        </w:rPr>
      </w:r>
      <w:r w:rsidRPr="004930F8"/>
      <w:r w:rsidRPr="004930F8">
        <w:rPr>
          <w:color w:val="0070C0"/>
        </w:rPr>
      </w:r>
      <w:r w:rsidR="005B1C76" w:rsidRPr="004930F8">
        <w:rPr>
          <w:color w:val="0070C0"/>
        </w:rPr>
      </w:r>
      <w:r w:rsidRPr="004930F8"/>
    </w:p>
    <w:p>
      <w:r>
        <w:t>Among supervised ML classifiers, Partial Least Squares Discriminant Analysis (PLS-DA) and Support Vector Machines with radial basis function kernel (SVM-RBF) are well established for the interpretation of Raman spectroscopic data [5,6]. PLS-DA is a latent variable approach that simultaneously decomposes the spectra and class label matrices to find directions of maximum covariance, yielding interpretable latent variable scores, loading profiles, and Variable Importance in Projection (VIP) scores [1,7,9]. VIP scores, derived from the PLS decomposition, provide a principled criterion for selecting the most discriminative spectral variables and are widely used as a preprocessing step before model training [8]. SVM-RBF finds a maximum-margin classification boundary in a kernel-induced feature space and is known to be robust in high-dimensional, small-sample settings — from biomedical diagnostics to polymer identification [7,10–13]. The selection of these two classifiers over alternatives such as random forests (RF), k-nearest neighbours (KNN), or convolutional neural networks (CNN) is deliberate: RF and KNN are vulnerable to the p &gt;&gt; n problem (p ≈ 2200 spectral points, n = 60–80 spectra) without aggressive dimensionality reduction, while CNN-based approaches require substantially larger labelled datasets than those available in a single proof-of-concept spectroscopic study. The VIP–PLS-DA–SVM-RBF pipeline therefore represents the methodological choice best matched to the dataset size and interpretability requirements of the present study [3,14]. Comparison with other classifiers is envisaged for future work as the dataset is expanded.</w:t>
      </w:r>
    </w:p>
    <w:p>
      <w:r>
        <w:t>The choice of Sunset Yellow (SSY) as the model chromonic system rests on several converging reasons. (i) SSY is one of the most extensively characterized LCLCs, with a well-documented phase behaviour, aggregation mechanism, and vibrational spectrum [18–21], providing a reliable benchmark against which spectral assignments and classification outcomes can be validated. (ii) Its plank-like aromatic rigid core and well-resolved Raman-active modes offer a rich and chemically interpretable spectral fingerprint, unlike systems dominated by broad or weakly resolved bands [18,19]. (iii) SSY aggregates are highly sensitive to the physicochemical nature of the underlying surface during solvent evaporation and self-assembly [22], meaning that even minor differences in interfacial chemistry, polarity, and roughness between substrates may meaningfully affect the local vibrational environment of the stacked aromatic cores — changes too subtle to discern by visual inspection but potentially recognisable with ML algorithms [3,14].</w:t>
      </w:r>
    </w:p>
    <w:p w14:paraId="3FD3C593" w14:textId="10813174" w:rsidR="00602CB1" w:rsidRDefault="00706A50">
      <w:pPr>
        <w:spacing w:after="200"/>
        <w:jc w:val="both"/>
      </w:pPr>
      <w:r w:rsidRPr="004930F8">
        <w:t>The presence of a graphene interlayer introduces an additional and mechanistically distinct source of spectral perturbation. Graphene is not a passive, chemically inert spacer; it is an active partner in interfacial vibrational spectroscopy [23]. Non-covalent interactions — π–π stacking and ground-state charge transfer — between adsorbed aromatic molecules and graphene are known to modulate the vibrational response of molecules in close proximity to the graphene layers [23–27]. Since SSY possesses rigid aromatic cores that enable precisely these non-covalent interactions, insertion of graphene between the substrate and the SSY film is expected to modulate the chromonic vibrational fingerprint through a mechanism fundamentally different from the bare-substrate case. The spectral signature of each substrate–graphene combination is therefore expected to encode a distinct interfacial interaction regime, rather than a simple linear superposition of independent substrate and graphene contributions. This motivates a classification scheme capable of distinguishing not only between substrates but also between graphene-coated and bare surface configurations.</w:t>
      </w:r>
      <w:r w:rsidR="004930F8" w:rsidRPr="004930F8">
        <w:rPr>
          <w:color w:val="0070C0"/>
        </w:rPr>
      </w:r>
      <w:r w:rsidRPr="004930F8"/>
      <w:r w:rsidRPr="004930F8"/>
      <w:r w:rsidR="004930F8" w:rsidRPr="004930F8">
        <w:rPr>
          <w:color w:val="0070C0"/>
        </w:rPr>
      </w:r>
      <w:r w:rsidRPr="004930F8"/>
      <w:r w:rsidR="004930F8" w:rsidRPr="004930F8">
        <w:rPr>
          <w:color w:val="0070C0"/>
        </w:rPr>
      </w:r>
      <w:r w:rsidRPr="004930F8"/>
      <w:r/>
      <w:r w:rsidR="006A639C"/>
      <w:bookmarkStart w:id="0" w:name="_Hlk233796060"/>
      <w:r w:rsidR="006A639C" w:rsidRPr="000C1C78"/>
      <w:r w:rsidR="00013B16" w:rsidRPr="00B33923">
        <w:rPr>
          <w:color w:val="0070C0"/>
        </w:rPr>
      </w:r>
      <w:r w:rsidR="006A639C" w:rsidRPr="000C1C78"/>
      <w:bookmarkEnd w:id="0"/>
      <w:r w:rsidR="0040701A"/>
      <w:r w:rsidR="00DD7E95" w:rsidRPr="00DD7E95"/>
      <w:r w:rsidR="00DD7E95"/>
      <w:r w:rsidR="0040701A"/>
      <w:r w:rsidR="00D30B01"/>
      <w:r w:rsidR="0040701A"/>
      <w:r w:rsidR="00D30B01"/>
      <w:r w:rsidR="0040701A"/>
      <w:r w:rsidR="00D30B01"/>
      <w:r w:rsidR="0040701A"/>
      <w:r w:rsidR="00D30B01"/>
      <w:r w:rsidR="0040701A"/>
      <w:r w:rsidR="00D30B01"/>
      <w:r w:rsidR="0040701A"/>
      <w:r w:rsidR="00DA5B42"/>
      <w:r w:rsidR="0040701A"/>
      <w:r w:rsidR="00DA5B42"/>
      <w:r w:rsidR="00D30B01"/>
      <w:r w:rsidR="00DA5B42"/>
      <w:r w:rsidR="00D30B01"/>
      <w:r w:rsidR="00D30B01" w:rsidRPr="004930F8">
        <w:rPr>
          <w:color w:val="0070C0"/>
        </w:rPr>
      </w:r>
      <w:r w:rsidR="000C1C78">
        <w:rPr>
          <w:color w:val="0070C0"/>
        </w:rPr>
      </w:r>
      <w:r w:rsidR="00D30B01"/>
      <w:r w:rsidR="00D30B01" w:rsidRPr="004930F8">
        <w:rPr>
          <w:color w:val="0070C0"/>
        </w:rPr>
      </w:r>
      <w:r w:rsidR="000C1C78">
        <w:rPr>
          <w:color w:val="0070C0"/>
        </w:rPr>
      </w:r>
      <w:r w:rsidR="00D30B01"/>
      <w:r w:rsidR="00BA55B7"/>
      <w:r/>
      <w:r w:rsidR="007421F7"/>
      <w:r/>
      <w:r w:rsidR="007421F7"/>
      <w:r/>
      <w:r w:rsidR="00E3697A"/>
    </w:p>
    <w:p w14:paraId="3A4F6761" w14:textId="0E9D7F3A" w:rsidR="00602CB1" w:rsidRDefault="00E43037">
      <w:pPr>
        <w:spacing w:after="200"/>
        <w:jc w:val="both"/>
      </w:pPr>
      <w:r>
        <w:t>Collectively, the above considerations frame the present study as more than a methodological comparison between two ML models. The fundamental scientific question is whether ML-integrated Raman analysis can detect and discriminate the interface-dependent differences in the self-organisation of SSY arising from substrate chemistry and the presence of a graphene interlayer, particularly when such differences are invisible to direct visual inspection or conventional peak-to-peak comparison. The innovation of the present work is threefold: (i) it is among the first studies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VIP-threshold-independent accuracy. To this end, SSY was deposited on four substrate configurations: (i) bare polydimethylsiloxane (PDMS), (ii) graphene-coated PDMS, (iii) bare SiO₂/Si, and (iv) graphene-coated SiO₂/Si. Both classifiers were evaluated under a four-class and a binary (PDMS vs. SiO₂/Si) formulation, with VIP-based variable selection systematically varied across {1000, 1500, 1800, 2200} variables. This controlled scope is pivotal to establishing a rigorous proof of concept for ML-integrated Raman classification of chromonic self-organisation on different substrates.</w:t>
      </w:r>
      <w:r w:rsidR="006A639C"/>
      <w:r/>
      <w:r w:rsidR="00DD542A"/>
      <w:r/>
      <w:r w:rsidR="0082530A"/>
      <w:proofErr w:type="spellStart"/>
      <w:r w:rsidR="0082530A"/>
      <w:proofErr w:type="spellEnd"/>
      <w:r w:rsidR="0082530A"/>
      <w:r/>
      <w:r w:rsidR="0082530A"/>
      <w:r/>
      <w:r w:rsidRPr="00BD6EE8">
        <w:rPr>
          <w:color w:val="0070C0"/>
        </w:rPr>
      </w:r>
      <w:r w:rsidR="000C1C78">
        <w:rPr>
          <w:color w:val="0070C0"/>
        </w:rPr>
      </w:r>
      <w:r/>
      <w:r w:rsidR="00BD6EE8" w:rsidRPr="00BD6EE8">
        <w:rPr>
          <w:color w:val="0070C0"/>
        </w:rPr>
      </w:r>
      <w:r w:rsidR="000C1C78">
        <w:rPr>
          <w:color w:val="0070C0"/>
        </w:rPr>
      </w:r>
      <w:r/>
      <w:r w:rsidR="0082530A"/>
      <w:r/>
      <w:r w:rsidR="0082530A"/>
      <w:r/>
      <w:r w:rsidR="0082530A"/>
      <w:r w:rsidR="00A316D1"/>
      <w:r w:rsidR="0082530A"/>
      <w:r w:rsidR="00247FA6"/>
      <w:r w:rsidR="0082530A"/>
      <w:r w:rsidR="00A316D1"/>
      <w:r/>
      <w:r w:rsidR="00BD6EE8" w:rsidRPr="00BD6EE8">
        <w:rPr>
          <w:color w:val="0070C0"/>
        </w:rPr>
      </w:r>
      <w:r w:rsidR="000C1C78">
        <w:rPr>
          <w:color w:val="0070C0"/>
        </w:rPr>
      </w:r>
      <w:r/>
      <w:r w:rsidRPr="00BD6EE8">
        <w:rPr>
          <w:color w:val="0070C0"/>
        </w:rPr>
      </w:r>
      <w:r w:rsidR="000C1C78">
        <w:rPr>
          <w:color w:val="0070C0"/>
        </w:rPr>
      </w:r>
      <w:r/>
      <w:r w:rsidR="00A316D1"/>
      <w:r w:rsidR="00247FA6"/>
      <w:r w:rsidR="00A316D1"/>
      <w:r w:rsidR="00525828" w:rsidRPr="00525828"/>
      <w:r w:rsidR="00525828"/>
      <w:r w:rsidR="00525828" w:rsidRPr="00B33923">
        <w:rPr>
          <w:color w:val="000000" w:themeColor="text1"/>
        </w:rPr>
      </w:r>
      <w:r w:rsidR="00DF6316" w:rsidRPr="00B33923">
        <w:rPr>
          <w:color w:val="0070C0"/>
        </w:rPr>
      </w:r>
      <w:r w:rsidR="000C1C78" w:rsidRPr="00B33923">
        <w:rPr>
          <w:color w:val="0070C0"/>
        </w:rPr>
      </w:r>
      <w:r w:rsidR="00525828" w:rsidRPr="00B33923">
        <w:rPr>
          <w:color w:val="000000" w:themeColor="text1"/>
        </w:rPr>
      </w:r>
      <w:r w:rsidR="00247FA6" w:rsidRPr="00B33923">
        <w:rPr>
          <w:color w:val="000000" w:themeColor="text1"/>
        </w:rPr>
      </w:r>
      <w:r w:rsidR="00247FA6"/>
      <w:r w:rsidR="00B5066A"/>
      <w:r w:rsidR="00247FA6"/>
      <w:r w:rsidR="00B5066A"/>
      <w:r w:rsidR="00247FA6"/>
      <w:r w:rsidR="00B5066A"/>
      <w:r w:rsidR="001876AB"/>
      <w:r w:rsidR="00B5066A"/>
      <w:r w:rsidR="0000652B"/>
      <w:r w:rsidR="00B72C31"/>
      <w:r/>
      <w:r w:rsidR="005825AE"/>
      <w:r/>
      <w:r w:rsidR="00B72C31"/>
      <w:r/>
      <w:r w:rsidR="005825AE"/>
      <w:r/>
      <w:r w:rsidR="005825AE"/>
      <w:r/>
      <w:r w:rsidRPr="00BD6EE8">
        <w:rPr>
          <w:color w:val="0070C0"/>
        </w:rPr>
      </w:r>
      <w:r/>
      <w:r w:rsidRPr="00BD6EE8">
        <w:rPr>
          <w:color w:val="0070C0"/>
        </w:rPr>
      </w:r>
      <w:r w:rsidR="00BD6EE8" w:rsidRPr="00BD6EE8">
        <w:rPr>
          <w:color w:val="0070C0"/>
        </w:rPr>
      </w:r>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(500–1800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substrate configurations in the range of 500–1800 cm⁻¹ over 80 measurements (±1 standard deviation, grey shading), plotted as a function of Raman shift (cm⁻¹). All dominant Raman bands are consistent with the literature for the keto-hydrazone tautomer of SSY, which dominates in the condensed film state [18,19,29]. The complete vibrational assignment, organised by spectral region, is as follows. In the out-of-plane skeletal region (500–700 cm⁻¹), the weak but reproducible bands arise from low-frequency collective motions of the molecular framework. Bands in the 530–560 cm⁻¹ range are assigned to the symmetric SO₃⁻ deformation (δₛ SO₃⁻) and out-of-plane ring torsion of the naphthalene (R1) system, reflecting the sulfonation pattern characteristic of the keto-hydrazone geometry [18,19]. Bands in the 580–630 cm⁻¹ range are attributed to C–S stretching coupled with ring skeletal bending, while the 640–680 cm⁻¹ region encompasses C–H out-of-plane bending (γ C–H) of both the naphthalene (R1) and phenyl (R2) rings [19,21]. The C–H out-of-plane deformation and ring breathing region (700–1000 cm⁻¹) contains bands most sensitive to the ring substitution pattern and the tautomeric configuration. Bands near 700–730 cm⁻¹ are assigned to C–H out-of-plane wagging of the naphthalene ring coupled with ring skeletal deformation [19,21]. The spectral feature at 770–800 cm⁻¹ corresponds to the naphthalene ring breathing mode, together with C–H out-of-plane bending of the peri-substituted aromatic positions [18,19]. Bands around 830–870 cm⁻¹ arise from ring deformation and C–H out-of-plane bending of the para-substituted phenyl ring (R2) [19,21]. Importantly, the feature at approximately 960–990 cm⁻¹ is assigned to the N–N stretching vibration of the hydrazone linkage (ν N–N, hydrazone form), a band diagnostic of the keto-hydrazone tautomer that would be absent or shifted in the azo form [19]. Its presence confirms the hydrazone character of SSY in the deposited films across all four substrate configurations. In the 1000–1090 cm⁻¹ range, the observed bands are assigned to ring trigonal bending, C–H in-plane bending and skeletal ring vibrations, consistent with the in-plane deformation modes of the conjugated naphthalene–hydrazone–phenyl framework [18,19,29]. The fingerprint region I (1094–1229 cm⁻¹) encompasses bending and deformation vibration modes of the naphthalene (R1) and phenyl (R2) rings at 1094 and 1127 cm⁻¹, respectively, alongside SO₃ group activity and C–N stretching coupled with N–H and naphthalene deformation modes at 1182 and 1229 cm⁻¹, collectively reflecting the stability of the sulfonate substituents on all examined substrates [18,19,29]. In the fingerprint region II (1335–1480 cm⁻¹), vibrational modes of the naphthalene and phenyl rings coexist with C–N, N–H and N–N stretching contributions of the hydrazone tautomer, characteristic of the hydrazone linkage and the extended aromatic core of SSY [18,19]. The D band of graphene (∼1350 cm⁻¹) coincides with this N–N/C–N hydrazone stretching region in the graphene-coated spectra. In the high-frequency region (1501–1598 cm⁻¹), the bands at 1501 and 1549 cm⁻¹ arise from C=O and C–N stretching coupled with N–H in-plane bending and naphthalene skeletal vibrations, respectively, where the C=O stretching is a hallmark of the keto-hydrazone tautomeric form [18,19]. The most intense band at 1598 cm⁻¹ is assigned to symmetric C–C stretching of the naphthalene (R1) and phenyl (R2) rings, reflecting the extended π-conjugation of the SSY chromophore [18,19]. The graphene G band (∼1580 cm⁻¹) is superimposed on this region in the Gr-coated spectra and partially overlaps with the 1598 cm⁻¹ SSY band. By visual inspection, all four SSY spectra are virtually indistinguishable across the entire 500–1800 cm⁻¹ window despite the substrate-dependent interfacial environments. This high spectral similarity constitutes the fundamental analytical challenge and motivates the machine learning approach described in the following sections.</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tbl>
      <w:tblPr>
        <w:tblW w:type="auto" w:w="0"/>
        <w:tblLook w:firstColumn="1" w:firstRow="1" w:lastColumn="0" w:lastRow="0" w:noHBand="0" w:noVBand="1" w:val="04A0"/>
      </w:tblPr>
      <w:tblGrid>
        <w:gridCol w:w="1656"/>
        <w:gridCol w:w="6624"/>
        <w:gridCol w:w="1296"/>
      </w:tblGrid>
      <w:tr>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Raman Shift (cm⁻¹)</w:t>
            </w:r>
          </w:p>
        </w:tc>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Vibrational Assignment</w:t>
            </w:r>
          </w:p>
        </w:tc>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Ref.</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530–560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SO₃⁻ symmetric deformation (δₛ SO₃⁻); out-of-plane ring torsion of naphthalene (R1)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580–630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C–S stretching coupled with ring skeletal bending</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640–680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C–H out-of-plane bending (γ C–H) of naphthalene (R1) and phenyl (R2) rings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700–730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C–H out-of-plane wagging of naphthalene; ring skeletal deformation</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770–800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Naphthalene ring breathing; C–H out-of-plane bending (peri-substituted positions)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830–870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deformation; C–H out-of-plane bending of para-substituted phenyl (R2)</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960–990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ν(N–N) hydrazone linkage — diagnostic band of the keto-hydrazone tautomer</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1000–1090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trigonal bending; C–H in-plane bending; skeletal ring vibrations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[18,19,29]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1094</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Ring bending/deformation modes of naphthalene (R1)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1127</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deformation of phenyl (R2)</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1182</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SO₃ group activity; C–N stretching coupled with N–H deformation</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[18,19,29]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1229</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C–N stretching coupled with N–H and naphthalene deformation modes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1335–1480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C–N, N–H and N–N stretching (hydrazone tautomer); naphthalene and phenyl ring modes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i/>
                <w:sz w:val="18"/>
              </w:rPr>
              <w:t>∼1350 *</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sz w:val="18"/>
              </w:rPr>
              <w:t>Graphene D band (defect-activated) — Gr-coated samples only</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val="0"/>
                <w:sz w:val="18"/>
              </w:rPr>
              <w:t>[30,31]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1501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C=O stretching coupled with C–N; N–H in-plane bending — keto-hydrazone marker</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1549</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C–N stretching; N–H in-plane bending; naphthalene skeletal vibrations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i/>
                <w:sz w:val="18"/>
              </w:rPr>
              <w:t>∼1580 *</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sz w:val="18"/>
              </w:rPr>
              <w:t>Graphene G band (E₂g) — Gr-coated samples only; overlaps 1598 cm⁻¹ SSY band</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val="0"/>
                <w:sz w:val="18"/>
              </w:rPr>
              <w:t>[30,31]</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1598</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Symmetric C–C stretching of naphthalene (R1) and phenyl (R2); extended π-conjugation (most intense band)</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bl>
    <w:p>
      <w:r>
        <w:rPr>
          <w:i/>
          <w:sz w:val="18"/>
        </w:rPr>
        <w:t>Table 1. Raman vibrational band assignments for SSY in the keto-hydrazone tautomeric form over the 500–1800 cm⁻¹ spectral window, based on DFT calculations and experimental literature data [18,19,21,29]. Entries marked * are attributed to the graphene interlayer and appear exclusively in Gr-coated sample configurations (highlighted in amber).</w:t>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500–1800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