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b/>
          <w:i w:val="0"/>
          <w:color w:val="1A1A5C"/>
          <w:sz w:val="30"/>
        </w:rPr>
        <w:t>Graphical Comparison of Classification Performance</w:t>
      </w:r>
    </w:p>
    <w:p>
      <w:pPr>
        <w:spacing w:before="0" w:after="200"/>
        <w:jc w:val="center"/>
      </w:pPr>
      <w:r>
        <w:rPr>
          <w:b w:val="0"/>
          <w:i/>
          <w:color w:val="3C3C3C"/>
          <w:sz w:val="22"/>
        </w:rPr>
        <w:t>Slide 10 (Binary 60 Train / 20 Test — Mixed)  vs.  Slide 11 (Binary 60 Train / 10 Test — Gr-Only)</w:t>
      </w:r>
    </w:p>
    <w:p>
      <w:pPr>
        <w:pBdr>
          <w:bottom w:val="single" w:sz="4" w:space="1" w:color="AAAAAA"/>
        </w:pBdr>
        <w:spacing w:after="160" w:before="80"/>
      </w:pP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9601200" cy="1159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s10_1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1159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both"/>
      </w:pPr>
      <w:r>
        <w:rPr>
          <w:i/>
          <w:color w:val="323232"/>
          <w:sz w:val="19"/>
        </w:rPr>
        <w:t>Figure. Graphical comparison of PLS-DA and SVM-RBF classification performance for Slide 10 (binary PDMS vs. SiO₂/Si, 60 train / 20 mixed-test spectra) and Slide 11 (60 train / 10 Gr-only test spectra). Rows 1–2: line plots and grouped bar charts of 5-fold CV vs. external test accuracy. Row 3 (Key Result): external test accuracy only — PLS-DA achieves a stable, VIP-independent 90.0% on graphene-coated samples (Slide 11) vs. 65.0% on mixed samples (Slide 10); SVM-RBF outperforms PLS-DA on mixed test (75% → 70%) but drops to 60% on the Gr-only test for VIP ≥ 1500. Row 4: colour-coded summary table of all reported values. Blue = PLS-DA; Red = SVM-RBF. Solid = CV (training); dashed/open markers = External Test.</w:t>
      </w:r>
    </w:p>
    <w:p>
      <w:pPr>
        <w:pBdr>
          <w:bottom w:val="single" w:sz="4" w:space="1" w:color="AAAAAA"/>
        </w:pBdr>
        <w:spacing w:after="160" w:before="80"/>
      </w:pPr>
    </w:p>
    <w:p>
      <w:pPr>
        <w:spacing w:before="80" w:after="120"/>
        <w:jc w:val="both"/>
      </w:pPr>
      <w:r>
        <w:rPr>
          <w:b/>
          <w:i w:val="0"/>
          <w:color w:val="1A1A5C"/>
          <w:sz w:val="24"/>
        </w:rPr>
        <w:t>Key Findings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551"/>
            <w:shd w:val="clear" w:color="auto" w:fill="2E405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4252"/>
            <w:shd w:val="clear" w:color="auto" w:fill="1a4a8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Slide 10 — Mixed Test</w:t>
            </w:r>
          </w:p>
        </w:tc>
        <w:tc>
          <w:tcPr>
            <w:tcW w:type="dxa" w:w="4252"/>
            <w:shd w:val="clear" w:color="auto" w:fill="1a4a8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Slide 11 — Gr-Only Test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PLS-DA External Test</w:t>
            </w:r>
          </w:p>
        </w:tc>
        <w:tc>
          <w:tcPr>
            <w:tcW w:type="dxa" w:w="4252"/>
            <w:shd w:val="clear" w:color="auto" w:fill="dce9f7"/>
          </w:tcPr>
          <w:p>
            <w:pPr>
              <w:jc w:val="center"/>
            </w:pPr>
            <w:r>
              <w:rPr>
                <w:sz w:val="19"/>
              </w:rPr>
              <w:t>65.0%  (flat, all VIP)</w:t>
            </w:r>
          </w:p>
        </w:tc>
        <w:tc>
          <w:tcPr>
            <w:tcW w:type="dxa" w:w="4252"/>
            <w:shd w:val="clear" w:color="auto" w:fill="2166a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90.0%  (flat, all VIP)  ↑ +25%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pPr>
              <w:jc w:val="left"/>
            </w:pPr>
            <w:r>
              <w:rPr>
                <w:sz w:val="19"/>
              </w:rPr>
              <w:t>SVM-RBF External Test</w:t>
            </w:r>
          </w:p>
        </w:tc>
        <w:tc>
          <w:tcPr>
            <w:tcW w:type="dxa" w:w="4252"/>
            <w:shd w:val="clear" w:color="auto" w:fill="fce0d0"/>
          </w:tcPr>
          <w:p>
            <w:pPr>
              <w:jc w:val="center"/>
            </w:pPr>
            <w:r>
              <w:rPr>
                <w:sz w:val="19"/>
              </w:rPr>
              <w:t>75.0% (1000–1500) / 70.0% (1800–2200)</w:t>
            </w:r>
          </w:p>
        </w:tc>
        <w:tc>
          <w:tcPr>
            <w:tcW w:type="dxa" w:w="4252"/>
            <w:shd w:val="clear" w:color="auto" w:fill="fdae6b"/>
          </w:tcPr>
          <w:p>
            <w:pPr>
              <w:jc w:val="center"/>
            </w:pPr>
            <w:r>
              <w:rPr>
                <w:sz w:val="19"/>
              </w:rPr>
              <w:t>70.0% (1000 VIP) → 60.0% (≥1500)  ↓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Best CV accuracy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PLS-DA: 93.0% at 1000 VIP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PLS-DA: 96.7% at 1000 VIP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pPr>
              <w:jc w:val="left"/>
            </w:pPr>
            <w:r>
              <w:rPr>
                <w:sz w:val="19"/>
              </w:rPr>
              <w:t>CV overfitting trend</w:t>
            </w:r>
          </w:p>
        </w:tc>
        <w:tc>
          <w:tcPr>
            <w:tcW w:type="dxa" w:w="4252"/>
            <w:shd w:val="clear" w:color="auto" w:fill="F0F4FF"/>
          </w:tcPr>
          <w:p>
            <w:pPr>
              <w:jc w:val="center"/>
            </w:pPr>
            <w:r>
              <w:rPr>
                <w:sz w:val="19"/>
              </w:rPr>
              <w:t>PLS-DA: 93→71%  |  SVM: 87→68%</w:t>
            </w:r>
          </w:p>
        </w:tc>
        <w:tc>
          <w:tcPr>
            <w:tcW w:type="dxa" w:w="4252"/>
            <w:shd w:val="clear" w:color="auto" w:fill="F0F4FF"/>
          </w:tcPr>
          <w:p>
            <w:pPr>
              <w:jc w:val="center"/>
            </w:pPr>
            <w:r>
              <w:rPr>
                <w:sz w:val="19"/>
              </w:rPr>
              <w:t>PLS-DA: 97→75%  |  SVM: 92→78%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Best model for test</w:t>
            </w:r>
          </w:p>
        </w:tc>
        <w:tc>
          <w:tcPr>
            <w:tcW w:type="dxa" w:w="4252"/>
            <w:shd w:val="clear" w:color="auto" w:fill="ffeb9c"/>
          </w:tcPr>
          <w:p>
            <w:pPr>
              <w:jc w:val="center"/>
            </w:pPr>
            <w:r>
              <w:rPr>
                <w:sz w:val="19"/>
              </w:rPr>
              <w:t>SVM-RBF (75% &gt; 65%)</w:t>
            </w:r>
          </w:p>
        </w:tc>
        <w:tc>
          <w:tcPr>
            <w:tcW w:type="dxa" w:w="4252"/>
            <w:shd w:val="clear" w:color="auto" w:fill="c6efce"/>
          </w:tcPr>
          <w:p>
            <w:pPr>
              <w:jc w:val="center"/>
            </w:pPr>
            <w:r>
              <w:rPr>
                <w:sz w:val="19"/>
              </w:rPr>
              <w:t>PLS-DA (90% &gt;&gt; 60%)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pPr>
              <w:jc w:val="left"/>
            </w:pPr>
            <w:r>
              <w:rPr>
                <w:sz w:val="19"/>
              </w:rPr>
              <w:t>VIP impact on test</w:t>
            </w:r>
          </w:p>
        </w:tc>
        <w:tc>
          <w:tcPr>
            <w:tcW w:type="dxa" w:w="4252"/>
            <w:shd w:val="clear" w:color="auto" w:fill="F0F4FF"/>
          </w:tcPr>
          <w:p>
            <w:pPr>
              <w:jc w:val="center"/>
            </w:pPr>
            <w:r>
              <w:rPr>
                <w:sz w:val="19"/>
              </w:rPr>
              <w:t>None for PLS-DA; slight for SVM</w:t>
            </w:r>
          </w:p>
        </w:tc>
        <w:tc>
          <w:tcPr>
            <w:tcW w:type="dxa" w:w="4252"/>
            <w:shd w:val="clear" w:color="auto" w:fill="F0F4FF"/>
          </w:tcPr>
          <w:p>
            <w:pPr>
              <w:jc w:val="center"/>
            </w:pPr>
            <w:r>
              <w:rPr>
                <w:sz w:val="19"/>
              </w:rPr>
              <w:t>None for PLS-DA; severe for SVM</w:t>
            </w:r>
          </w:p>
        </w:tc>
      </w:tr>
    </w:tbl>
    <w:p>
      <w:pPr>
        <w:spacing w:before="0" w:after="80"/>
        <w:jc w:val="both"/>
      </w:pPr>
      <w:r>
        <w:rPr>
          <w:b w:val="0"/>
          <w:i w:val="0"/>
          <w:sz w:val="12"/>
        </w:rPr>
      </w:r>
    </w:p>
    <w:p>
      <w:pPr>
        <w:spacing w:before="0" w:after="80"/>
        <w:jc w:val="both"/>
      </w:pPr>
      <w:r>
        <w:rPr>
          <w:b w:val="0"/>
          <w:i/>
          <w:color w:val="505050"/>
          <w:sz w:val="18"/>
        </w:rPr>
        <w:t>Note: External test accuracy is the only metric relevant for model generalization. Cross-validation accuracy reflects training-set fit and is susceptible to overfitting as VIP count increases. Blue-highlighted cell: PLS-DA 90.0% stable on Gr-only test (central finding). Green: recommended model per scenario.</w:t>
      </w:r>
    </w:p>
    <w:sectPr w:rsidR="00FC693F" w:rsidRPr="0006063C" w:rsidSect="00034616">
      <w:pgSz w:w="16838" w:h="11906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