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2"/>
        </w:rPr>
        <w:t>PEER REVIEW REPORT</w:t>
      </w:r>
    </w:p>
    <w:p>
      <w:pPr>
        <w:jc w:val="center"/>
      </w:pPr>
      <w:r>
        <w:rPr>
          <w:i/>
          <w:color w:val="4472C4"/>
          <w:sz w:val="24"/>
        </w:rPr>
        <w:t>Materials Chemistry and Physics  |  Elsevier</w:t>
      </w:r>
    </w:p>
    <w:p>
      <w:pPr>
        <w:jc w:val="center"/>
      </w:pPr>
      <w:r>
        <w:rPr>
          <w:sz w:val="22"/>
        </w:rPr>
        <w:t>Manuscript No.  MATCHEMPHYSD2604411</w:t>
      </w:r>
    </w:p>
    <w:p>
      <w:pPr>
        <w:pBdr>
          <w:bottom w:val="single" w:sz="6" w:space="1" w:color="4472C4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20"/>
              </w:rPr>
              <w:t>Title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Efficient Surface Enhanced Raman Scattering on Graphene Coated Cu Nanowires Prepared by Low Temperature Chemical Vapor Deposition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Authors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Van Tan Tran, An Bang Ngac, Nguyen Hai Pham, Viet Tuyen Nguyen, Van Chuc Nguyen, Trong Tam Nguyen, Bui Nguyen Quoc Trinh, The Nam Dinh, Thi Ha Tran*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Institution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Vietnam National University Hanoi; Vietnam Academy of Science and Technology; Vietnam Maritime University; Vietnam Japan University; Hanoi University of Mining and Geology</w:t>
            </w:r>
          </w:p>
        </w:tc>
      </w:tr>
      <w:tr>
        <w:tc>
          <w:tcPr>
            <w:tcW w:type="dxa" w:w="4561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21 June 2026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1.  OVERALL ASSESSMENT</w:t>
      </w:r>
    </w:p>
    <w:p>
      <w:pPr>
        <w:pBdr>
          <w:bottom w:val="single" w:sz="6" w:space="1" w:color="4472C4"/>
        </w:pBdr>
        <w:spacing w:after="80"/>
      </w:pPr>
    </w:p>
    <w:p>
      <w:pPr>
        <w:spacing w:before="0" w:after="160"/>
        <w:jc w:val="left"/>
      </w:pPr>
      <w:r>
        <w:rPr>
          <w:b w:val="0"/>
          <w:i w:val="0"/>
          <w:sz w:val="22"/>
        </w:rPr>
        <w:t>This manuscript describes fabrication of Cu/G nanowire SERS substrates via thermal oxidation, H2 reduction at 400 degrees C, and low-temperature ethanol CVD. The best substrate achieves LOD = 5.69x10^-11 M and EF = 6.1x10^6 for methylene blue, with 90-day stability. The fabrication concept is sound; however, the manuscript contains critical deficiencies in EF reporting, FDTD modelling, graphene characterisation, and oxidation protection evidence that must be addressed before acceptance.</w:t>
      </w:r>
    </w:p>
    <w:p>
      <w:pPr>
        <w:spacing w:after="240"/>
        <w:ind w:left="567"/>
        <w:shd w:val="clear" w:color="auto" w:fill="DCE6F1"/>
      </w:pPr>
      <w:r>
        <w:rPr>
          <w:b/>
          <w:color w:val="1F497D"/>
          <w:sz w:val="24"/>
        </w:rPr>
        <w:t>RECOMMENDATION:   Major Revision Required</w:t>
      </w:r>
    </w:p>
    <w:p>
      <w:pPr>
        <w:spacing w:before="240" w:after="80"/>
      </w:pPr>
      <w:r>
        <w:rPr>
          <w:b/>
          <w:color w:val="1F497D"/>
          <w:sz w:val="28"/>
        </w:rPr>
        <w:t>2.  REVIEWER COMMENTS</w:t>
      </w:r>
    </w:p>
    <w:p>
      <w:pPr>
        <w:pBdr>
          <w:bottom w:val="single" w:sz="6" w:space="1" w:color="4472C4"/>
        </w:pBdr>
        <w:spacing w:after="80"/>
      </w:pPr>
    </w:p>
    <w:p>
      <w:pPr>
        <w:spacing w:before="200" w:after="80"/>
      </w:pPr>
      <w:r>
        <w:rPr>
          <w:b/>
          <w:color w:val="1F497D"/>
          <w:sz w:val="22"/>
        </w:rPr>
        <w:t xml:space="preserve">Comment 1 — Enhancement Factor: Incomplete Reporting  </w:t>
      </w:r>
      <w:r>
        <w:rPr>
          <w:b/>
          <w:color w:val="C00000"/>
          <w:sz w:val="22"/>
        </w:rPr>
        <w:t>[CRITICAL]</w:t>
      </w:r>
    </w:p>
    <w:p>
      <w:pPr>
        <w:spacing w:after="80"/>
        <w:ind w:left="170"/>
        <w:shd w:val="clear" w:color="auto" w:fill="F7F7F7"/>
      </w:pPr>
      <w:r>
        <w:rPr>
          <w:sz w:val="22"/>
        </w:rPr>
        <w:t xml:space="preserve">The EF value (6.1x10^6) is reported without the raw intensities </w:t>
      </w:r>
      <w:r>
        <w:rPr>
          <w:b/>
          <w:sz w:val="22"/>
        </w:rPr>
        <w:t>I_SERS</w:t>
      </w:r>
      <w:r>
        <w:rPr>
          <w:sz w:val="22"/>
        </w:rPr>
        <w:t xml:space="preserve"> and </w:t>
      </w:r>
      <w:r>
        <w:rPr>
          <w:b/>
          <w:sz w:val="22"/>
        </w:rPr>
        <w:t>I_RS</w:t>
      </w:r>
      <w:r>
        <w:rPr>
          <w:sz w:val="22"/>
        </w:rPr>
        <w:t>, the Raman peak selected, or confirmation that acquisition conditions were identical for both spectra. The EF type must be identified as Analytical Enhancement Factor (</w:t>
      </w:r>
      <w:r>
        <w:rPr>
          <w:b/>
          <w:sz w:val="22"/>
        </w:rPr>
        <w:t>AEF</w:t>
      </w:r>
      <w:r>
        <w:rPr>
          <w:sz w:val="22"/>
        </w:rPr>
        <w:t xml:space="preserve"> = (I_SERS/C_SERS) / (I_RS/C_RS), Le Ru &amp; Etchegoin, Principles of SERS, Elsevier, 2009, Eq. 4.4), and the reference Raman spectrum of MB at 10^-4 M on silicon must be provided. Without these, the reported EF cannot be independently verified.</w:t>
      </w:r>
    </w:p>
    <w:p>
      <w:pPr>
        <w:spacing w:after="0"/>
        <w:ind w:left="170"/>
      </w:pPr>
      <w:r>
        <w:rPr>
          <w:i/>
          <w:color w:val="595959"/>
          <w:sz w:val="20"/>
        </w:rPr>
        <w:t>AEF formula (Le Ru &amp; Etchegoin, Eq. 4.4):</w:t>
      </w:r>
    </w:p>
    <w:p>
      <w:pPr>
        <w:spacing w:before="120" w:after="120"/>
        <w:jc w:val="center"/>
      </w:pPr>
      <m:oMathPara>
        <m:oMath>
          <m:f>
            <m:fPr/>
            <m:num>
              <m:sSub>
                <m:sSubPr/>
                <m:e>
                  <m:r>
                    <m:t xml:space="preserve">I</m:t>
                  </m:r>
                </m:e>
                <m:sub>
                  <m:r>
                    <m:t xml:space="preserve">SERS</m:t>
                  </m:r>
                </m:sub>
              </m:sSub>
              <m:r>
                <m:t xml:space="preserve"> / </m:t>
              </m:r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SERS</m:t>
                  </m:r>
                </m:sub>
              </m:sSub>
            </m:num>
            <m:den>
              <m:sSub>
                <m:sSubPr/>
                <m:e>
                  <m:r>
                    <m:t xml:space="preserve">I</m:t>
                  </m:r>
                </m:e>
                <m:sub>
                  <m:r>
                    <m:t xml:space="preserve">RS</m:t>
                  </m:r>
                </m:sub>
              </m:sSub>
              <m:r>
                <m:t xml:space="preserve"> / </m:t>
              </m:r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RS</m:t>
                  </m:r>
                </m:sub>
              </m:sSub>
            </m:den>
          </m:f>
          <m:r>
            <m:t xml:space="preserve">  =  </m:t>
          </m:r>
          <m:f>
            <m:fPr/>
            <m:num>
              <m:sSub>
                <m:sSubPr/>
                <m:e>
                  <m:r>
                    <m:t xml:space="preserve">I</m:t>
                  </m:r>
                </m:e>
                <m:sub>
                  <m:r>
                    <m:t xml:space="preserve">SERS</m:t>
                  </m:r>
                </m:sub>
              </m:sSub>
            </m:num>
            <m:den>
              <m:sSub>
                <m:sSubPr/>
                <m:e>
                  <m:r>
                    <m:t xml:space="preserve">I</m:t>
                  </m:r>
                </m:e>
                <m:sub>
                  <m:r>
                    <m:t xml:space="preserve">RS</m:t>
                  </m:r>
                </m:sub>
              </m:sSub>
            </m:den>
          </m:f>
          <m:r>
            <m:t xml:space="preserve">  x  </m:t>
          </m:r>
          <m:f>
            <m:fPr/>
            <m:num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RS</m:t>
                  </m:r>
                </m:sub>
              </m:sSub>
            </m:num>
            <m:den>
              <m:sSub>
                <m:sSubPr/>
                <m:e>
                  <m:r>
                    <m:t xml:space="preserve">C</m:t>
                  </m:r>
                </m:e>
                <m:sub>
                  <m:r>
                    <m:t xml:space="preserve">SERS</m:t>
                  </m:r>
                </m:sub>
              </m:sSub>
            </m:den>
          </m:f>
          <m:r>
            <m:t xml:space="preserve">  =  </m:t>
          </m:r>
          <m:f>
            <m:fPr/>
            <m:num>
              <m:sSub>
                <m:sSubPr/>
                <m:e>
                  <m:r>
                    <m:t xml:space="preserve">I</m:t>
                  </m:r>
                </m:e>
                <m:sub>
                  <m:r>
                    <m:t xml:space="preserve">SERS</m:t>
                  </m:r>
                </m:sub>
              </m:sSub>
            </m:num>
            <m:den>
              <m:sSub>
                <m:sSubPr/>
                <m:e>
                  <m:r>
                    <m:t xml:space="preserve">I</m:t>
                  </m:r>
                </m:e>
                <m:sub>
                  <m:r>
                    <m:t xml:space="preserve">RS</m:t>
                  </m:r>
                </m:sub>
              </m:sSub>
            </m:den>
          </m:f>
          <m:r>
            <m:t xml:space="preserve">  x  </m:t>
          </m:r>
          <m:f>
            <m:fPr/>
            <m:num>
              <m:sSup>
                <m:sSupPr/>
                <m:e>
                  <m:r>
                    <m:t xml:space="preserve">10</m:t>
                  </m:r>
                </m:e>
                <m:sup>
                  <m:r>
                    <m:t xml:space="preserve">- 4</m:t>
                  </m:r>
                </m:sup>
              </m:sSup>
            </m:num>
            <m:den>
              <m:sSup>
                <m:sSupPr/>
                <m:e>
                  <m:r>
                    <m:t xml:space="preserve">10</m:t>
                  </m:r>
                </m:e>
                <m:sup>
                  <m:r>
                    <m:t xml:space="preserve">- 10</m:t>
                  </m:r>
                </m:sup>
              </m:sSup>
            </m:den>
          </m:f>
          <m:r>
            <m:t xml:space="preserve">  =  </m:t>
          </m:r>
          <m:f>
            <m:fPr/>
            <m:num>
              <m:sSub>
                <m:sSubPr/>
                <m:e>
                  <m:r>
                    <m:t xml:space="preserve">I</m:t>
                  </m:r>
                </m:e>
                <m:sub>
                  <m:r>
                    <m:t xml:space="preserve">SERS</m:t>
                  </m:r>
                </m:sub>
              </m:sSub>
            </m:num>
            <m:den>
              <m:sSub>
                <m:sSubPr/>
                <m:e>
                  <m:r>
                    <m:t xml:space="preserve">I</m:t>
                  </m:r>
                </m:e>
                <m:sub>
                  <m:r>
                    <m:t xml:space="preserve">RS</m:t>
                  </m:r>
                </m:sub>
              </m:sSub>
            </m:den>
          </m:f>
          <m:r>
            <m:t xml:space="preserve">  x  10</m:t>
          </m:r>
          <m:sSup>
            <m:sSupPr/>
            <m:e>
              <m:r>
                <m:t xml:space="preserve"/>
              </m:r>
            </m:e>
            <m:sup>
              <m:r>
                <m:t xml:space="preserve">6</m:t>
              </m:r>
            </m:sup>
          </m:sSup>
        </m:oMath>
      </m:oMathPara>
    </w:p>
    <w:p>
      <w:pPr>
        <w:spacing w:after="40"/>
      </w:pPr>
    </w:p>
    <w:p>
      <w:pPr>
        <w:spacing w:before="200" w:after="80"/>
      </w:pPr>
      <w:r>
        <w:rPr>
          <w:b/>
          <w:color w:val="1F497D"/>
          <w:sz w:val="22"/>
        </w:rPr>
        <w:t xml:space="preserve">Comment 2 — FDTD Model Inconsistent with Real Substrate  </w:t>
      </w:r>
      <w:r>
        <w:rPr>
          <w:b/>
          <w:color w:val="C06000"/>
          <w:sz w:val="22"/>
        </w:rPr>
        <w:t>[MAJOR]</w:t>
      </w:r>
    </w:p>
    <w:p>
      <w:pPr>
        <w:spacing w:after="80"/>
        <w:ind w:left="170"/>
        <w:shd w:val="clear" w:color="auto" w:fill="F7F7F7"/>
      </w:pPr>
      <w:r>
        <w:rPr>
          <w:sz w:val="22"/>
        </w:rPr>
        <w:t xml:space="preserve">The FDTD simulation models an isolated 100 nm sphere, whereas the actual substrate is a network of 1D nanowires whose SERS hot spots arise at inter-wire nanogap junctions -- a fundamentally different geometry with different plasmon resonance conditions. Furthermore, the simulation presents </w:t>
      </w:r>
      <w:r>
        <w:rPr>
          <w:b/>
          <w:sz w:val="22"/>
        </w:rPr>
        <w:t>|E|^2</w:t>
      </w:r>
      <w:r>
        <w:rPr>
          <w:sz w:val="22"/>
        </w:rPr>
        <w:t xml:space="preserve"> maps, whereas SERS enhancement scales as </w:t>
      </w:r>
      <w:r>
        <w:rPr>
          <w:b/>
          <w:sz w:val="22"/>
        </w:rPr>
        <w:t>|E/E_0|^4</w:t>
      </w:r>
      <w:r>
        <w:rPr>
          <w:sz w:val="22"/>
        </w:rPr>
        <w:t xml:space="preserve"> (Moskovits, Rev. Mod. Phys. 57, 783, 1985). The simulation results cannot therefore justify the experimental wavelength selection or the measured EF.</w:t>
      </w:r>
    </w:p>
    <w:p>
      <w:pPr>
        <w:spacing w:after="0"/>
        <w:ind w:left="170"/>
      </w:pPr>
      <w:r>
        <w:rPr>
          <w:i/>
          <w:color w:val="595959"/>
          <w:sz w:val="20"/>
        </w:rPr>
        <w:t>Correct EM EF scaling (Moskovits, 1985):</w:t>
      </w:r>
    </w:p>
    <w:p>
      <w:pPr>
        <w:spacing w:before="120" w:after="120"/>
        <w:jc w:val="center"/>
      </w:pPr>
      <m:oMathPara>
        <m:oMath>
          <m:sSub>
            <m:sSubPr/>
            <m:e>
              <m:r>
                <m:t xml:space="preserve">EF</m:t>
              </m:r>
            </m:e>
            <m:sub>
              <m:r>
                <m:t xml:space="preserve">EM</m:t>
              </m:r>
            </m:sub>
          </m:sSub>
          <m:r>
            <m:t xml:space="preserve">  ~  </m:t>
          </m:r>
          <m:sSup>
            <m:sSupPr/>
            <m:e>
              <m:r>
                <m:t xml:space="preserve">
                  <m:r>
                    <m:t xml:space="preserve">( |E(r)| / |E</m:t>
                  </m:r>
                  <m:sSub>
                    <m:sSubPr/>
                    <m:e>
                      <m:r>
                        <m:t xml:space="preserve">0</m:t>
                      </m:r>
                    </m:e>
                    <m:sub>
                      <m:r>
                        <m:t xml:space="preserve"/>
                      </m:r>
                    </m:sub>
                  </m:sSub>
                  <m:r>
                    <m:t xml:space="preserve">| )</m:t>
                  </m:r>
                </m:t>
              </m:r>
            </m:e>
            <m:sup>
              <m:r>
                <m:t xml:space="preserve">4</m:t>
              </m:r>
            </m:sup>
          </m:sSup>
        </m:oMath>
      </m:oMathPara>
    </w:p>
    <w:p>
      <w:pPr>
        <w:spacing w:after="40"/>
      </w:pPr>
    </w:p>
    <w:p>
      <w:pPr>
        <w:spacing w:before="200" w:after="80"/>
      </w:pPr>
      <w:r>
        <w:rPr>
          <w:b/>
          <w:color w:val="1F497D"/>
          <w:sz w:val="22"/>
        </w:rPr>
        <w:t xml:space="preserve">Comment 3 — Graphene Quality Not Quantified  </w:t>
      </w:r>
      <w:r>
        <w:rPr>
          <w:b/>
          <w:color w:val="C06000"/>
          <w:sz w:val="22"/>
        </w:rPr>
        <w:t>[MAJOR]</w:t>
      </w:r>
    </w:p>
    <w:p>
      <w:pPr>
        <w:spacing w:after="80"/>
        <w:ind w:left="170"/>
        <w:shd w:val="clear" w:color="auto" w:fill="F7F7F7"/>
      </w:pPr>
      <w:r>
        <w:rPr>
          <w:sz w:val="22"/>
        </w:rPr>
        <w:t xml:space="preserve">Figure 7 shows a prominent D band (1367 cm^-1) with a weak 2D band, indicating highly defective graphene. The </w:t>
      </w:r>
      <w:r>
        <w:rPr>
          <w:b/>
          <w:sz w:val="22"/>
        </w:rPr>
        <w:t>I(D)/I(G)</w:t>
      </w:r>
      <w:r>
        <w:rPr>
          <w:sz w:val="22"/>
        </w:rPr>
        <w:t xml:space="preserve"> ratio is neither reported nor discussed. The authors must report this ratio, estimate the sp2 domain size via the Tuinstra-Koenig relation (J. Chem. Phys. 53, 1126, 1970), and discuss implications for both the charge-transfer enhancement mechanism and oxidation barrier effectiveness.</w:t>
      </w:r>
    </w:p>
    <w:p>
      <w:pPr>
        <w:spacing w:after="0"/>
        <w:ind w:left="170"/>
      </w:pPr>
      <w:r>
        <w:rPr>
          <w:i/>
          <w:color w:val="595959"/>
          <w:sz w:val="20"/>
        </w:rPr>
        <w:t>Tuinstra-Koenig domain size formula:</w:t>
      </w:r>
    </w:p>
    <w:p>
      <w:pPr>
        <w:spacing w:before="120" w:after="120"/>
        <w:jc w:val="center"/>
      </w:pPr>
      <m:oMathPara>
        <m:oMath>
          <m:sSub>
            <m:sSubPr/>
            <m:e>
              <m:r>
                <m:t xml:space="preserve">L</m:t>
              </m:r>
            </m:e>
            <m:sub>
              <m:r>
                <m:t xml:space="preserve">a</m:t>
              </m:r>
            </m:sub>
          </m:sSub>
          <m:r>
            <m:t xml:space="preserve">  (nm)  =  (2.4 x 10</m:t>
          </m:r>
          <m:sSup>
            <m:sSupPr/>
            <m:e>
              <m:r>
                <m:t xml:space="preserve"/>
              </m:r>
            </m:e>
            <m:sup>
              <m:r>
                <m:t xml:space="preserve">- 10</m:t>
              </m:r>
            </m:sup>
          </m:sSup>
          <m:r>
            <m:t xml:space="preserve">)  x  </m:t>
          </m:r>
          <m:sSup>
            <m:sSupPr/>
            <m:e>
              <m:r>
                <m:t xml:space="preserve">
                  <m:r>
                    <m:t xml:space="preserve">lambda</m:t>
                  </m:r>
                </m:t>
              </m:r>
            </m:e>
            <m:sup>
              <m:r>
                <m:t xml:space="preserve">4</m:t>
              </m:r>
            </m:sup>
          </m:sSup>
          <m:r>
            <m:t xml:space="preserve">  x  </m:t>
          </m:r>
          <m:f>
            <m:fPr/>
            <m:num>
              <m:r>
                <m:t xml:space="preserve">I(G)</m:t>
              </m:r>
            </m:num>
            <m:den>
              <m:r>
                <m:t xml:space="preserve">I(D)</m:t>
              </m:r>
            </m:den>
          </m:f>
        </m:oMath>
      </m:oMathPara>
    </w:p>
    <w:p>
      <w:pPr>
        <w:spacing w:after="40"/>
      </w:pPr>
    </w:p>
    <w:p>
      <w:pPr>
        <w:spacing w:before="200" w:after="80"/>
      </w:pPr>
      <w:r>
        <w:rPr>
          <w:b/>
          <w:color w:val="1F497D"/>
          <w:sz w:val="22"/>
        </w:rPr>
        <w:t xml:space="preserve">Comment 4 — Oxidation Protection Evidence is Insufficient  </w:t>
      </w:r>
      <w:r>
        <w:rPr>
          <w:b/>
          <w:color w:val="C06000"/>
          <w:sz w:val="22"/>
        </w:rPr>
        <w:t>[MAJOR]</w:t>
      </w:r>
    </w:p>
    <w:p>
      <w:pPr>
        <w:spacing w:after="80"/>
        <w:ind w:left="170"/>
        <w:shd w:val="clear" w:color="auto" w:fill="F7F7F7"/>
      </w:pPr>
      <w:r>
        <w:rPr>
          <w:sz w:val="22"/>
        </w:rPr>
        <w:t xml:space="preserve">The 90-day stability claim rests solely on the absence of CuO/Cu2O Raman peaks, which cannot detect sub-monolayer oxidation. </w:t>
      </w:r>
      <w:r>
        <w:rPr>
          <w:b/>
          <w:sz w:val="22"/>
        </w:rPr>
        <w:t>XPS of the Cu 2p(3/2) peak</w:t>
      </w:r>
      <w:r>
        <w:rPr>
          <w:sz w:val="22"/>
        </w:rPr>
        <w:t xml:space="preserve"> (Cu0 at ~932.6 eV vs. Cu2+ at ~933.6 eV) before and after ageing is required. A control experiment with bare Cu nanowires stored under identical conditions is also mandatory; without it, the stability improvement cannot be causally attributed to graphene.</w:t>
      </w:r>
    </w:p>
    <w:p>
      <w:pPr>
        <w:spacing w:after="40"/>
      </w:pPr>
    </w:p>
    <w:p>
      <w:pPr>
        <w:spacing w:before="200" w:after="80"/>
      </w:pPr>
      <w:r>
        <w:rPr>
          <w:b/>
          <w:color w:val="1F497D"/>
          <w:sz w:val="22"/>
        </w:rPr>
        <w:t xml:space="preserve">Comment 5 — LOD Calculation Not Shown  </w:t>
      </w:r>
      <w:r>
        <w:rPr>
          <w:b/>
          <w:color w:val="C06000"/>
          <w:sz w:val="22"/>
        </w:rPr>
        <w:t>[MAJOR]</w:t>
      </w:r>
    </w:p>
    <w:p>
      <w:pPr>
        <w:spacing w:after="80"/>
        <w:ind w:left="170"/>
        <w:shd w:val="clear" w:color="auto" w:fill="F7F7F7"/>
      </w:pPr>
      <w:r>
        <w:rPr>
          <w:sz w:val="22"/>
        </w:rPr>
        <w:t xml:space="preserve">The LOD (5.69x10^-11 M) is stated without the calculation method. The </w:t>
      </w:r>
      <w:r>
        <w:rPr>
          <w:b/>
          <w:sz w:val="22"/>
        </w:rPr>
        <w:t>IUPAC-standard formula LOD = 3sigma/S</w:t>
      </w:r>
      <w:r>
        <w:rPr>
          <w:sz w:val="22"/>
        </w:rPr>
        <w:t xml:space="preserve"> must be applied, where sigma is the standard deviation of the blank signal and S is the slope of the calibration curve from Figure 12b. The numerical values of sigma and S must be reported.</w:t>
      </w:r>
    </w:p>
    <w:p>
      <w:pPr>
        <w:spacing w:after="0"/>
        <w:ind w:left="170"/>
      </w:pPr>
      <w:r>
        <w:rPr>
          <w:i/>
          <w:color w:val="595959"/>
          <w:sz w:val="20"/>
        </w:rPr>
        <w:t>IUPAC LOD formula:</w:t>
      </w:r>
    </w:p>
    <w:p>
      <w:pPr>
        <w:spacing w:before="120" w:after="120"/>
        <w:jc w:val="center"/>
      </w:pPr>
      <m:oMathPara>
        <m:oMath>
          <m:r>
            <m:t xml:space="preserve">LOD  =  </m:t>
          </m:r>
          <m:f>
            <m:fPr/>
            <m:num>
              <m:r>
                <m:t xml:space="preserve">3 sigma</m:t>
              </m:r>
            </m:num>
            <m:den>
              <m:r>
                <m:t xml:space="preserve">S</m:t>
              </m:r>
            </m:den>
          </m:f>
        </m:oMath>
      </m:oMathPara>
    </w:p>
    <w:p>
      <w:pPr>
        <w:spacing w:after="40"/>
      </w:pPr>
    </w:p>
    <w:p>
      <w:pPr>
        <w:spacing w:before="200" w:after="80"/>
      </w:pPr>
      <w:r>
        <w:rPr>
          <w:b/>
          <w:color w:val="1F497D"/>
          <w:sz w:val="22"/>
        </w:rPr>
        <w:t xml:space="preserve">Comment 6 — Environmental Monitoring Claim Unsupported  </w:t>
      </w:r>
      <w:r>
        <w:rPr>
          <w:b/>
          <w:color w:val="4472C4"/>
          <w:sz w:val="22"/>
        </w:rPr>
        <w:t>[MODERATE]</w:t>
      </w:r>
    </w:p>
    <w:p>
      <w:pPr>
        <w:spacing w:after="80"/>
        <w:ind w:left="170"/>
        <w:shd w:val="clear" w:color="auto" w:fill="F7F7F7"/>
      </w:pPr>
      <w:r>
        <w:rPr>
          <w:sz w:val="22"/>
        </w:rPr>
        <w:t>All detection experiments use only methylene blue, a strongly SERS-active dye that binds preferentially to graphene via pi-pi stacking and is not a standard environmental pollutant. The claim of environmental monitoring applicability must be supported by testing at least one relevant non-dye analyte, or removed from the abstract and conclusions.</w:t>
      </w:r>
    </w:p>
    <w:p>
      <w:pPr>
        <w:spacing w:after="40"/>
      </w:pPr>
    </w:p>
    <w:p>
      <w:pPr>
        <w:spacing w:before="200" w:after="80"/>
      </w:pPr>
      <w:r>
        <w:rPr>
          <w:b/>
          <w:color w:val="1F497D"/>
          <w:sz w:val="22"/>
        </w:rPr>
        <w:t xml:space="preserve">Comment 7 — Melting Point Depression Not Quantified  </w:t>
      </w:r>
      <w:r>
        <w:rPr>
          <w:b/>
          <w:color w:val="4472C4"/>
          <w:sz w:val="22"/>
        </w:rPr>
        <w:t>[MODERATE]</w:t>
      </w:r>
    </w:p>
    <w:p>
      <w:pPr>
        <w:spacing w:after="80"/>
        <w:ind w:left="170"/>
        <w:shd w:val="clear" w:color="auto" w:fill="F7F7F7"/>
      </w:pPr>
      <w:r>
        <w:rPr>
          <w:sz w:val="22"/>
        </w:rPr>
        <w:t>The authors invoke the Gibbs-Thomson effect to explain nanowire fragmentation above 400 degrees C but do not apply the Pawlow formula to estimate the actual melting point depression for 100 nm Cu nanowires. This estimate is needed to confirm that fragmentation is a solid-state Rayleigh instability process and not melting of nanoscale Cu.</w:t>
      </w:r>
    </w:p>
    <w:p>
      <w:pPr>
        <w:spacing w:after="0"/>
        <w:ind w:left="170"/>
      </w:pPr>
      <w:r>
        <w:rPr>
          <w:i/>
          <w:color w:val="595959"/>
          <w:sz w:val="20"/>
        </w:rPr>
        <w:t>Pawlow melting point depression formula:</w:t>
      </w:r>
    </w:p>
    <w:p>
      <w:pPr>
        <w:spacing w:before="120" w:after="120"/>
        <w:jc w:val="center"/>
      </w:pPr>
      <m:oMathPara>
        <m:oMath>
          <m:sSub>
            <m:sSubPr/>
            <m:e>
              <m:r>
                <m:t xml:space="preserve">T</m:t>
              </m:r>
            </m:e>
            <m:sub>
              <m:r>
                <m:t xml:space="preserve">m</m:t>
              </m:r>
            </m:sub>
          </m:sSub>
          <m:r>
            <m:t xml:space="preserve">(nano)  =  </m:t>
          </m:r>
          <m:sSub>
            <m:sSubPr/>
            <m:e>
              <m:r>
                <m:t xml:space="preserve">T</m:t>
              </m:r>
            </m:e>
            <m:sub>
              <m:r>
                <m:t xml:space="preserve">m</m:t>
              </m:r>
            </m:sub>
          </m:sSub>
          <m:r>
            <m:t xml:space="preserve">(bulk)  x  [ 1  -  </m:t>
          </m:r>
          <m:f>
            <m:fPr/>
            <m:num>
              <m:r>
                <m:t xml:space="preserve">4 gamma </m:t>
              </m:r>
              <m:sSub>
                <m:sSubPr/>
                <m:e>
                  <m:r>
                    <m:t xml:space="preserve">V</m:t>
                  </m:r>
                </m:e>
                <m:sub>
                  <m:r>
                    <m:t xml:space="preserve">m</m:t>
                  </m:r>
                </m:sub>
              </m:sSub>
            </m:num>
            <m:den>
              <m:sSub>
                <m:sSubPr/>
                <m:e>
                  <m:r>
                    <m:t xml:space="preserve">DeltaH</m:t>
                  </m:r>
                </m:e>
                <m:sub>
                  <m:r>
                    <m:t xml:space="preserve">f</m:t>
                  </m:r>
                </m:sub>
              </m:sSub>
              <m:r>
                <m:t xml:space="preserve"> x </m:t>
              </m:r>
              <m:sSub>
                <m:sSubPr/>
                <m:e>
                  <m:r>
                    <m:t xml:space="preserve">rho</m:t>
                  </m:r>
                </m:e>
                <m:sub>
                  <m:r>
                    <m:t xml:space="preserve">l</m:t>
                  </m:r>
                </m:sub>
              </m:sSub>
              <m:r>
                <m:t xml:space="preserve"> x d</m:t>
              </m:r>
            </m:den>
          </m:f>
          <m:r>
            <m:t xml:space="preserve"> ]</m:t>
          </m:r>
        </m:oMath>
      </m:oMathPara>
    </w:p>
    <w:p>
      <w:pPr>
        <w:spacing w:after="40"/>
      </w:pPr>
    </w:p>
    <w:p>
      <w:pPr>
        <w:spacing w:before="200" w:after="80"/>
      </w:pPr>
      <w:r>
        <w:rPr>
          <w:b/>
          <w:color w:val="1F497D"/>
          <w:sz w:val="22"/>
        </w:rPr>
        <w:t xml:space="preserve">Comment 8 — Reproducibility: RSD Not Reported  </w:t>
      </w:r>
      <w:r>
        <w:rPr>
          <w:b/>
          <w:color w:val="4472C4"/>
          <w:sz w:val="22"/>
        </w:rPr>
        <w:t>[MODERATE]</w:t>
      </w:r>
    </w:p>
    <w:p>
      <w:pPr>
        <w:spacing w:after="80"/>
        <w:ind w:left="170"/>
        <w:shd w:val="clear" w:color="auto" w:fill="F7F7F7"/>
      </w:pPr>
      <w:r>
        <w:rPr>
          <w:sz w:val="22"/>
        </w:rPr>
        <w:t xml:space="preserve">Figure 13 reports reproducibility only qualitatively. The </w:t>
      </w:r>
      <w:r>
        <w:rPr>
          <w:b/>
          <w:sz w:val="22"/>
        </w:rPr>
        <w:t>Relative Standard Deviation (RSD = sigma/mu x 100%)</w:t>
      </w:r>
      <w:r>
        <w:rPr>
          <w:sz w:val="22"/>
        </w:rPr>
        <w:t xml:space="preserve"> across all mapping positions must be calculated and reported. The accepted benchmark is RSD &lt; 15-20% (Ding et al., Nature Reviews Materials 1, 16021, 2016). The number of positions sampled must also be stated.</w:t>
      </w:r>
    </w:p>
    <w:p>
      <w:pPr>
        <w:spacing w:after="0"/>
        <w:ind w:left="170"/>
      </w:pPr>
      <w:r>
        <w:rPr>
          <w:i/>
          <w:color w:val="595959"/>
          <w:sz w:val="20"/>
        </w:rPr>
        <w:t>RSD formula:</w:t>
      </w:r>
    </w:p>
    <w:p>
      <w:pPr>
        <w:spacing w:before="120" w:after="120"/>
        <w:jc w:val="center"/>
      </w:pPr>
      <m:oMathPara>
        <m:oMath>
          <m:r>
            <m:t xml:space="preserve">RSD (%)  =  </m:t>
          </m:r>
          <m:f>
            <m:fPr/>
            <m:num>
              <m:r>
                <m:t xml:space="preserve">sigma</m:t>
              </m:r>
            </m:num>
            <m:den>
              <m:r>
                <m:t xml:space="preserve">mu</m:t>
              </m:r>
            </m:den>
          </m:f>
          <m:r>
            <m:t xml:space="preserve">  x  100</m:t>
          </m:r>
        </m:oMath>
      </m:oMathPara>
    </w:p>
    <w:p>
      <w:pPr>
        <w:spacing w:after="40"/>
      </w:pPr>
    </w:p>
    <w:p>
      <w:pPr>
        <w:spacing w:before="200" w:after="80"/>
      </w:pPr>
      <w:r>
        <w:rPr>
          <w:b/>
          <w:color w:val="1F497D"/>
          <w:sz w:val="22"/>
        </w:rPr>
        <w:t xml:space="preserve">Comment 9 — CVD Temperature Range Incomplete  </w:t>
      </w:r>
      <w:r>
        <w:rPr>
          <w:b/>
          <w:color w:val="4472C4"/>
          <w:sz w:val="22"/>
        </w:rPr>
        <w:t>[MODERATE]</w:t>
      </w:r>
    </w:p>
    <w:p>
      <w:pPr>
        <w:spacing w:after="80"/>
        <w:ind w:left="170"/>
        <w:shd w:val="clear" w:color="auto" w:fill="F7F7F7"/>
      </w:pPr>
      <w:r>
        <w:rPr>
          <w:sz w:val="22"/>
        </w:rPr>
        <w:t>The optimal CVD result occurs at 400 degrees C, the lowest temperature tested. Temperatures below 400 degrees C (e.g., 350, 375 degrees C) must be explored to confirm this is a true optimum and not the lower boundary of an insufficiently explored parameter space.</w:t>
      </w:r>
    </w:p>
    <w:p>
      <w:pPr>
        <w:spacing w:after="40"/>
      </w:pPr>
    </w:p>
    <w:p>
      <w:pPr>
        <w:spacing w:before="200" w:after="80"/>
      </w:pPr>
      <w:r>
        <w:rPr>
          <w:b/>
          <w:color w:val="1F497D"/>
          <w:sz w:val="22"/>
        </w:rPr>
        <w:t xml:space="preserve">Comment 10 — Graphene Deposition Not Confirmed Elementally  </w:t>
      </w:r>
      <w:r>
        <w:rPr>
          <w:b/>
          <w:color w:val="4472C4"/>
          <w:sz w:val="22"/>
        </w:rPr>
        <w:t>[MODERATE]</w:t>
      </w:r>
    </w:p>
    <w:p>
      <w:pPr>
        <w:spacing w:after="80"/>
        <w:ind w:left="170"/>
        <w:shd w:val="clear" w:color="auto" w:fill="F7F7F7"/>
      </w:pPr>
      <w:r>
        <w:rPr>
          <w:sz w:val="22"/>
        </w:rPr>
        <w:t xml:space="preserve">Figure 6b does not identify or quantify a carbon peak after CVD. The </w:t>
      </w:r>
      <w:r>
        <w:rPr>
          <w:b/>
          <w:sz w:val="22"/>
        </w:rPr>
        <w:t>C Kalpha signal (~0.277 keV)</w:t>
      </w:r>
      <w:r>
        <w:rPr>
          <w:sz w:val="22"/>
        </w:rPr>
        <w:t xml:space="preserve"> must be labelled and the carbon atomic percentage reported. Given EDS's limited sensitivity for light elements, </w:t>
      </w:r>
      <w:r>
        <w:rPr>
          <w:b/>
          <w:sz w:val="22"/>
        </w:rPr>
        <w:t>XPS of the C 1s peak (~284.6 eV)</w:t>
      </w:r>
      <w:r>
        <w:rPr>
          <w:sz w:val="22"/>
        </w:rPr>
        <w:t xml:space="preserve"> is strongly recommended to confirm graphene rather than amorphous carbon deposition.</w:t>
      </w:r>
    </w:p>
    <w:p>
      <w:pPr>
        <w:spacing w:after="40"/>
      </w:pPr>
    </w:p>
    <w:p>
      <w:pPr>
        <w:spacing w:before="240" w:after="80"/>
      </w:pPr>
      <w:r>
        <w:rPr>
          <w:b/>
          <w:color w:val="1F497D"/>
          <w:sz w:val="28"/>
        </w:rPr>
        <w:t>3.  SUMMARY TABLE</w:t>
      </w:r>
    </w:p>
    <w:p>
      <w:pPr>
        <w:pBdr>
          <w:bottom w:val="single" w:sz="6" w:space="1" w:color="4472C4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68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No.</w:t>
            </w:r>
          </w:p>
        </w:tc>
        <w:tc>
          <w:tcPr>
            <w:tcW w:type="dxa" w:w="623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141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041"/>
            <w:shd w:val="clear" w:color="auto" w:fill="FFB3BA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041"/>
            <w:shd w:val="clear" w:color="auto" w:fill="FFB3BA"/>
          </w:tcPr>
          <w:p>
            <w:r>
              <w:rPr>
                <w:sz w:val="20"/>
              </w:rPr>
              <w:t>EF formula -- raw intensities, peak, and EF type not shown</w:t>
            </w:r>
          </w:p>
        </w:tc>
        <w:tc>
          <w:tcPr>
            <w:tcW w:type="dxa" w:w="3041"/>
            <w:shd w:val="clear" w:color="auto" w:fill="FFB3BA"/>
          </w:tcPr>
          <w:p>
            <w:r>
              <w:rPr>
                <w:b/>
                <w:sz w:val="20"/>
              </w:rPr>
              <w:t>CRITICAL</w:t>
            </w:r>
          </w:p>
        </w:tc>
      </w:tr>
      <w:tr>
        <w:tc>
          <w:tcPr>
            <w:tcW w:type="dxa" w:w="3041"/>
            <w:shd w:val="clear" w:color="auto" w:fill="FFDFBA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41"/>
            <w:shd w:val="clear" w:color="auto" w:fill="FFDFBA"/>
          </w:tcPr>
          <w:p>
            <w:r>
              <w:rPr>
                <w:sz w:val="20"/>
              </w:rPr>
              <w:t>FDTD sphere model wrong geometry; |E|^2 used instead of |E|^4</w:t>
            </w:r>
          </w:p>
        </w:tc>
        <w:tc>
          <w:tcPr>
            <w:tcW w:type="dxa" w:w="3041"/>
            <w:shd w:val="clear" w:color="auto" w:fill="FFDFBA"/>
          </w:tcPr>
          <w:p>
            <w:r>
              <w:rPr>
                <w:b/>
                <w:sz w:val="20"/>
              </w:rPr>
              <w:t>MAJOR</w:t>
            </w:r>
          </w:p>
        </w:tc>
      </w:tr>
      <w:tr>
        <w:tc>
          <w:tcPr>
            <w:tcW w:type="dxa" w:w="3041"/>
            <w:shd w:val="clear" w:color="auto" w:fill="FFDFBA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041"/>
            <w:shd w:val="clear" w:color="auto" w:fill="FFDFBA"/>
          </w:tcPr>
          <w:p>
            <w:r>
              <w:rPr>
                <w:sz w:val="20"/>
              </w:rPr>
              <w:t>Graphene D/G ratio not reported; domain size not calculated</w:t>
            </w:r>
          </w:p>
        </w:tc>
        <w:tc>
          <w:tcPr>
            <w:tcW w:type="dxa" w:w="3041"/>
            <w:shd w:val="clear" w:color="auto" w:fill="FFDFBA"/>
          </w:tcPr>
          <w:p>
            <w:r>
              <w:rPr>
                <w:b/>
                <w:sz w:val="20"/>
              </w:rPr>
              <w:t>MAJOR</w:t>
            </w:r>
          </w:p>
        </w:tc>
      </w:tr>
      <w:tr>
        <w:tc>
          <w:tcPr>
            <w:tcW w:type="dxa" w:w="3041"/>
            <w:shd w:val="clear" w:color="auto" w:fill="FFDFBA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041"/>
            <w:shd w:val="clear" w:color="auto" w:fill="FFDFBA"/>
          </w:tcPr>
          <w:p>
            <w:r>
              <w:rPr>
                <w:sz w:val="20"/>
              </w:rPr>
              <w:t>No XPS or control experiment to confirm oxidation protection</w:t>
            </w:r>
          </w:p>
        </w:tc>
        <w:tc>
          <w:tcPr>
            <w:tcW w:type="dxa" w:w="3041"/>
            <w:shd w:val="clear" w:color="auto" w:fill="FFDFBA"/>
          </w:tcPr>
          <w:p>
            <w:r>
              <w:rPr>
                <w:b/>
                <w:sz w:val="20"/>
              </w:rPr>
              <w:t>MAJOR</w:t>
            </w:r>
          </w:p>
        </w:tc>
      </w:tr>
      <w:tr>
        <w:tc>
          <w:tcPr>
            <w:tcW w:type="dxa" w:w="3041"/>
            <w:shd w:val="clear" w:color="auto" w:fill="FFDFBA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041"/>
            <w:shd w:val="clear" w:color="auto" w:fill="FFDFBA"/>
          </w:tcPr>
          <w:p>
            <w:r>
              <w:rPr>
                <w:sz w:val="20"/>
              </w:rPr>
              <w:t>LOD formula (3sigma/S) and values of sigma and S not shown</w:t>
            </w:r>
          </w:p>
        </w:tc>
        <w:tc>
          <w:tcPr>
            <w:tcW w:type="dxa" w:w="3041"/>
            <w:shd w:val="clear" w:color="auto" w:fill="FFDFBA"/>
          </w:tcPr>
          <w:p>
            <w:r>
              <w:rPr>
                <w:b/>
                <w:sz w:val="20"/>
              </w:rPr>
              <w:t>MAJOR</w:t>
            </w:r>
          </w:p>
        </w:tc>
      </w:tr>
      <w:tr>
        <w:tc>
          <w:tcPr>
            <w:tcW w:type="dxa" w:w="3041"/>
            <w:shd w:val="clear" w:color="auto" w:fill="FFFFBA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041"/>
            <w:shd w:val="clear" w:color="auto" w:fill="FFFFBA"/>
          </w:tcPr>
          <w:p>
            <w:r>
              <w:rPr>
                <w:sz w:val="20"/>
              </w:rPr>
              <w:t>Only MB tested; environmental monitoring claim unsupported</w:t>
            </w:r>
          </w:p>
        </w:tc>
        <w:tc>
          <w:tcPr>
            <w:tcW w:type="dxa" w:w="3041"/>
            <w:shd w:val="clear" w:color="auto" w:fill="FFFFBA"/>
          </w:tcPr>
          <w:p>
            <w:r>
              <w:rPr>
                <w:b/>
                <w:sz w:val="20"/>
              </w:rPr>
              <w:t>MODERATE</w:t>
            </w:r>
          </w:p>
        </w:tc>
      </w:tr>
      <w:tr>
        <w:tc>
          <w:tcPr>
            <w:tcW w:type="dxa" w:w="3041"/>
            <w:shd w:val="clear" w:color="auto" w:fill="FFFFBA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041"/>
            <w:shd w:val="clear" w:color="auto" w:fill="FFFFBA"/>
          </w:tcPr>
          <w:p>
            <w:r>
              <w:rPr>
                <w:sz w:val="20"/>
              </w:rPr>
              <w:t>Melting point depression not quantified</w:t>
            </w:r>
          </w:p>
        </w:tc>
        <w:tc>
          <w:tcPr>
            <w:tcW w:type="dxa" w:w="3041"/>
            <w:shd w:val="clear" w:color="auto" w:fill="FFFFBA"/>
          </w:tcPr>
          <w:p>
            <w:r>
              <w:rPr>
                <w:b/>
                <w:sz w:val="20"/>
              </w:rPr>
              <w:t>MODERATE</w:t>
            </w:r>
          </w:p>
        </w:tc>
      </w:tr>
      <w:tr>
        <w:tc>
          <w:tcPr>
            <w:tcW w:type="dxa" w:w="3041"/>
            <w:shd w:val="clear" w:color="auto" w:fill="FFFFBA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041"/>
            <w:shd w:val="clear" w:color="auto" w:fill="FFFFBA"/>
          </w:tcPr>
          <w:p>
            <w:r>
              <w:rPr>
                <w:sz w:val="20"/>
              </w:rPr>
              <w:t>RSD of SERS mapping not calculated</w:t>
            </w:r>
          </w:p>
        </w:tc>
        <w:tc>
          <w:tcPr>
            <w:tcW w:type="dxa" w:w="3041"/>
            <w:shd w:val="clear" w:color="auto" w:fill="FFFFBA"/>
          </w:tcPr>
          <w:p>
            <w:r>
              <w:rPr>
                <w:b/>
                <w:sz w:val="20"/>
              </w:rPr>
              <w:t>MODERATE</w:t>
            </w:r>
          </w:p>
        </w:tc>
      </w:tr>
      <w:tr>
        <w:tc>
          <w:tcPr>
            <w:tcW w:type="dxa" w:w="3041"/>
            <w:shd w:val="clear" w:color="auto" w:fill="FFFFBA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041"/>
            <w:shd w:val="clear" w:color="auto" w:fill="FFFFBA"/>
          </w:tcPr>
          <w:p>
            <w:r>
              <w:rPr>
                <w:sz w:val="20"/>
              </w:rPr>
              <w:t>CVD temperature range too narrow</w:t>
            </w:r>
          </w:p>
        </w:tc>
        <w:tc>
          <w:tcPr>
            <w:tcW w:type="dxa" w:w="3041"/>
            <w:shd w:val="clear" w:color="auto" w:fill="FFFFBA"/>
          </w:tcPr>
          <w:p>
            <w:r>
              <w:rPr>
                <w:b/>
                <w:sz w:val="20"/>
              </w:rPr>
              <w:t>MODERATE</w:t>
            </w:r>
          </w:p>
        </w:tc>
      </w:tr>
      <w:tr>
        <w:tc>
          <w:tcPr>
            <w:tcW w:type="dxa" w:w="3041"/>
            <w:shd w:val="clear" w:color="auto" w:fill="FFFFBA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041"/>
            <w:shd w:val="clear" w:color="auto" w:fill="FFFFBA"/>
          </w:tcPr>
          <w:p>
            <w:r>
              <w:rPr>
                <w:sz w:val="20"/>
              </w:rPr>
              <w:t>Carbon EDS/XPS evidence for graphene deposition absent</w:t>
            </w:r>
          </w:p>
        </w:tc>
        <w:tc>
          <w:tcPr>
            <w:tcW w:type="dxa" w:w="3041"/>
            <w:shd w:val="clear" w:color="auto" w:fill="FFFFBA"/>
          </w:tcPr>
          <w:p>
            <w:r>
              <w:rPr>
                <w:b/>
                <w:sz w:val="20"/>
              </w:rPr>
              <w:t>MODERATE</w:t>
            </w:r>
          </w:p>
        </w:tc>
      </w:tr>
    </w:tbl>
    <w:p>
      <w:pPr>
        <w:spacing w:before="240" w:after="80"/>
      </w:pPr>
      <w:r>
        <w:rPr>
          <w:b/>
          <w:color w:val="1F497D"/>
          <w:sz w:val="28"/>
        </w:rPr>
        <w:t>4.  REFERENCES CITED IN THIS REVIEW</w:t>
      </w:r>
    </w:p>
    <w:p>
      <w:pPr>
        <w:pBdr>
          <w:bottom w:val="single" w:sz="6" w:space="1" w:color="4472C4"/>
        </w:pBdr>
        <w:spacing w:after="80"/>
      </w:pPr>
    </w:p>
    <w:p>
      <w:pPr>
        <w:spacing w:after="80"/>
        <w:ind w:left="283"/>
      </w:pPr>
      <w:r>
        <w:rPr>
          <w:sz w:val="20"/>
        </w:rPr>
        <w:t>[R1] Le Ru, E.C. &amp; Etchegoin, P.G. Principles of Surface-Enhanced Raman Spectroscopy. Elsevier, 2009. [AEF: Eq. 4.4, p. 187]</w:t>
      </w:r>
    </w:p>
    <w:p>
      <w:pPr>
        <w:spacing w:after="80"/>
        <w:ind w:left="283"/>
      </w:pPr>
      <w:r>
        <w:rPr>
          <w:sz w:val="20"/>
        </w:rPr>
        <w:t>[R2] Moskovits, M. Surface-enhanced spectroscopy. Rev. Mod. Phys. 57, 783 (1985). [|E|^4 EM scaling]</w:t>
      </w:r>
    </w:p>
    <w:p>
      <w:pPr>
        <w:spacing w:after="80"/>
        <w:ind w:left="283"/>
      </w:pPr>
      <w:r>
        <w:rPr>
          <w:sz w:val="20"/>
        </w:rPr>
        <w:t>[R3] Tuinstra, F. &amp; Koenig, J.L. Raman spectrum of graphite. J. Chem. Phys. 53, 1126 (1970). [D/G ratio]</w:t>
      </w:r>
    </w:p>
    <w:p>
      <w:pPr>
        <w:spacing w:after="80"/>
        <w:ind w:left="283"/>
      </w:pPr>
      <w:r>
        <w:rPr>
          <w:sz w:val="20"/>
        </w:rPr>
        <w:t>[R4] Ding, S.-Y. et al. Nanostructure-based SERS. Nature Rev. Mater. 1, 16021 (2016). [RSD benchmark]</w:t>
      </w:r>
    </w:p>
    <w:p>
      <w:pPr>
        <w:spacing w:after="80"/>
        <w:ind w:left="283"/>
      </w:pPr>
      <w:r>
        <w:rPr>
          <w:sz w:val="20"/>
        </w:rPr>
        <w:t>[R5] Pawlow, P. Z. Phys. Chem. 65, 545 (1909). [Melting point depression]</w:t>
      </w:r>
    </w:p>
    <w:p>
      <w:pPr>
        <w:pBdr>
          <w:bottom w:val="single" w:sz="6" w:space="1" w:color="4472C4"/>
        </w:pBdr>
        <w:spacing w:after="80"/>
      </w:pPr>
    </w:p>
    <w:p>
      <w:pPr>
        <w:jc w:val="center"/>
      </w:pPr>
      <w:r>
        <w:rPr>
          <w:i/>
          <w:color w:val="808080"/>
          <w:sz w:val="18"/>
        </w:rPr>
        <w:t>Review prepared for manuscript MATCHEMPHYSD2604411  |  Materials Chemistry and Physics (Elsevier)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