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PEER REVIEW REPORT</w:t>
      </w:r>
    </w:p>
    <w:p>
      <w:pPr>
        <w:jc w:val="center"/>
      </w:pPr>
      <w:r>
        <w:rPr>
          <w:i/>
          <w:color w:val="4472C4"/>
          <w:sz w:val="24"/>
        </w:rPr>
        <w:t>Materials Chemistry and Physics  |  Elsevier</w:t>
      </w:r>
    </w:p>
    <w:p>
      <w:pPr>
        <w:jc w:val="center"/>
      </w:pPr>
      <w:r>
        <w:rPr>
          <w:sz w:val="22"/>
        </w:rPr>
        <w:t>Manuscript No.  MATCHEMPHYSD2604411</w:t>
      </w:r>
    </w:p>
    <w:p>
      <w:pPr>
        <w:pBdr>
          <w:bottom w:val="single" w:sz="6" w:space="1" w:color="4472C4"/>
        </w:pBdr>
        <w:spacing w:after="80"/>
      </w:pPr>
    </w:p>
    <w:tbl>
      <w:tblPr>
        <w:tblStyle w:val="TableGrid"/>
        <w:tblW w:type="auto" w:w="0"/>
        <w:tblLook w:firstColumn="1" w:firstRow="1" w:lastColumn="0" w:lastRow="0" w:noHBand="0" w:noVBand="1" w:val="04A0"/>
      </w:tblPr>
      <w:tblGrid>
        <w:gridCol w:w="4561"/>
        <w:gridCol w:w="4561"/>
      </w:tblGrid>
      <w:tr>
        <w:tc>
          <w:tcPr>
            <w:tcW w:type="dxa" w:w="4561"/>
          </w:tcPr>
          <w:p>
            <w:r>
              <w:rPr>
                <w:b/>
                <w:sz w:val="20"/>
              </w:rPr>
              <w:t>Title</w:t>
            </w:r>
          </w:p>
        </w:tc>
        <w:tc>
          <w:tcPr>
            <w:tcW w:type="dxa" w:w="4561"/>
          </w:tcPr>
          <w:p>
            <w:r>
              <w:rPr>
                <w:sz w:val="20"/>
              </w:rPr>
              <w:t>Efficient Surface Enhanced Raman Scattering on Graphene Coated Cu Nanowires Prepared by Low Temperature Chemical Vapor Deposition</w:t>
            </w:r>
          </w:p>
        </w:tc>
      </w:tr>
      <w:tr>
        <w:tc>
          <w:tcPr>
            <w:tcW w:type="dxa" w:w="4561"/>
          </w:tcPr>
          <w:p>
            <w:r>
              <w:rPr>
                <w:b/>
                <w:sz w:val="20"/>
              </w:rPr>
              <w:t>Authors</w:t>
            </w:r>
          </w:p>
        </w:tc>
        <w:tc>
          <w:tcPr>
            <w:tcW w:type="dxa" w:w="4561"/>
          </w:tcPr>
          <w:p>
            <w:r>
              <w:rPr>
                <w:sz w:val="20"/>
              </w:rPr>
              <w:t>Van Tan Tran, An Bang Ngac, Nguyen Hai Pham, Viet Tuyen Nguyen, Van Chuc Nguyen, Trong Tam Nguyen, Bui Nguyen Quoc Trinh, The Nam Dinh, Thi Ha Tran*</w:t>
            </w:r>
          </w:p>
        </w:tc>
      </w:tr>
      <w:tr>
        <w:tc>
          <w:tcPr>
            <w:tcW w:type="dxa" w:w="4561"/>
          </w:tcPr>
          <w:p>
            <w:r>
              <w:rPr>
                <w:b/>
                <w:sz w:val="20"/>
              </w:rPr>
              <w:t>Affiliations</w:t>
            </w:r>
          </w:p>
        </w:tc>
        <w:tc>
          <w:tcPr>
            <w:tcW w:type="dxa" w:w="4561"/>
          </w:tcPr>
          <w:p>
            <w:r>
              <w:rPr>
                <w:sz w:val="20"/>
              </w:rPr>
              <w:t>Vietnam National University Hanoi; Vietnam Academy of Science and Technology; Vietnam Maritime University; Vietnam Japan University; Hanoi University of Mining and Geology</w:t>
            </w:r>
          </w:p>
        </w:tc>
      </w:tr>
      <w:tr>
        <w:tc>
          <w:tcPr>
            <w:tcW w:type="dxa" w:w="4561"/>
          </w:tcPr>
          <w:p>
            <w:r>
              <w:rPr>
                <w:b/>
                <w:sz w:val="20"/>
              </w:rPr>
              <w:t>Review Date</w:t>
            </w:r>
          </w:p>
        </w:tc>
        <w:tc>
          <w:tcPr>
            <w:tcW w:type="dxa" w:w="4561"/>
          </w:tcPr>
          <w:p>
            <w:r>
              <w:rPr>
                <w:sz w:val="20"/>
              </w:rPr>
              <w:t>20 June 2026</w:t>
            </w:r>
          </w:p>
        </w:tc>
      </w:tr>
    </w:tbl>
    <w:p/>
    <w:p>
      <w:pPr>
        <w:spacing w:before="240" w:after="80"/>
      </w:pPr>
      <w:r>
        <w:rPr>
          <w:b/>
          <w:color w:val="1F497D"/>
          <w:sz w:val="28"/>
        </w:rPr>
        <w:t>1.  OVERALL ASSESSMENT</w:t>
      </w:r>
    </w:p>
    <w:p>
      <w:pPr>
        <w:pBdr>
          <w:bottom w:val="single" w:sz="6" w:space="1" w:color="4472C4"/>
        </w:pBdr>
        <w:spacing w:after="80"/>
      </w:pPr>
    </w:p>
    <w:p>
      <w:pPr>
        <w:spacing w:before="0" w:after="120"/>
        <w:jc w:val="left"/>
      </w:pPr>
      <w:r>
        <w:rPr>
          <w:b w:val="0"/>
          <w:i w:val="0"/>
          <w:sz w:val="22"/>
        </w:rPr>
        <w:t>This manuscript describes the fabrication of copper/graphene (Cu/G) nanowire substrates for Surface-Enhanced Raman Scattering (SERS). CuO nanowires are grown by thermal oxidation of copper foil, reduced to metallic Cu by H2 gas at 400 degrees C, and then coated with a graphene layer via low-temperature CVD using ethanol as a carbon precursor. The best-performing substrate achieves LOD = 5.69x10^-11 M and EF = 6.1x10^6 for methylene blue (MB) detection, with stability confirmed over 90 days (signal decrease &lt; 6.1%).</w:t>
      </w:r>
    </w:p>
    <w:p>
      <w:pPr>
        <w:spacing w:before="0" w:after="160"/>
        <w:jc w:val="left"/>
      </w:pPr>
      <w:r>
        <w:rPr>
          <w:b w:val="0"/>
          <w:i w:val="0"/>
          <w:sz w:val="22"/>
        </w:rPr>
        <w:t>The fabrication concept is creative and practically valuable. However, the manuscript contains critical scientific deficiencies -- particularly in the Enhancement Factor calculation, FDTD simulation validity, graphene quality characterisation, and oxidation protection evidence -- that must be corrected before the paper can be accepted.</w:t>
      </w:r>
    </w:p>
    <w:p>
      <w:pPr>
        <w:spacing w:after="240"/>
        <w:ind w:left="567"/>
        <w:shd w:val="clear" w:color="auto" w:fill="DCE6F1"/>
      </w:pPr>
      <w:r>
        <w:rPr>
          <w:b/>
          <w:color w:val="1F497D"/>
          <w:sz w:val="24"/>
        </w:rPr>
        <w:t>RECOMMENDATION:   Major Revision Required</w:t>
      </w:r>
    </w:p>
    <w:p>
      <w:pPr>
        <w:spacing w:before="240" w:after="80"/>
      </w:pPr>
      <w:r>
        <w:rPr>
          <w:b/>
          <w:color w:val="1F497D"/>
          <w:sz w:val="28"/>
        </w:rPr>
        <w:t>2.  DETAILED SCIENTIFIC COMMENTS</w:t>
      </w:r>
    </w:p>
    <w:p>
      <w:pPr>
        <w:pBdr>
          <w:bottom w:val="single" w:sz="6" w:space="1" w:color="4472C4"/>
        </w:pBdr>
        <w:spacing w:after="80"/>
      </w:pPr>
    </w:p>
    <w:p>
      <w:pPr>
        <w:spacing w:before="240" w:after="80"/>
      </w:pPr>
      <w:r>
        <w:rPr>
          <w:b/>
          <w:color w:val="1F497D"/>
          <w:sz w:val="24"/>
        </w:rPr>
        <w:t>Comment 1 -- Enhancement Factor: Incomplete Calculation  [CRITICAL]</w:t>
      </w:r>
    </w:p>
    <w:p>
      <w:pPr>
        <w:spacing w:before="0" w:after="120"/>
        <w:jc w:val="left"/>
      </w:pPr>
      <w:r>
        <w:rPr>
          <w:b w:val="0"/>
          <w:i w:val="0"/>
          <w:sz w:val="22"/>
        </w:rPr>
        <w:t>The authors state (Section 3): "The enhancement factor (EF) was estimated to be 6.1x10^6 based on a comparison of the Raman signal intensity of MB at 10^-10 M on a SERS substrate with the Raman signal intensity of MB at 10^-4 M on a conventional silicon substrate." This corresponds to the Analytical Enhancement Factor (AEF). The standard definition from the field's authoritative textbook is:</w:t>
      </w:r>
    </w:p>
    <w:p>
      <w:pPr>
        <w:spacing w:after="120"/>
        <w:ind w:left="680"/>
        <w:shd w:val="clear" w:color="auto" w:fill="F2F2F2"/>
      </w:pPr>
      <w:r>
        <w:rPr>
          <w:i/>
          <w:color w:val="595959"/>
          <w:sz w:val="20"/>
        </w:rPr>
        <w:t>Reference: Le Ru, E.C. &amp; Etchegoin, P.G.  Principles of Surface-Enhanced Raman Spectroscopy and Related Plasmonic Effects. Elsevier, Amsterdam, 2009.  Equation 4.4, page 187.</w:t>
      </w:r>
    </w:p>
    <w:p>
      <w:pPr>
        <w:spacing w:before="0" w:after="40"/>
        <w:jc w:val="left"/>
      </w:pPr>
      <w:r>
        <w:rPr>
          <w:b/>
          <w:i w:val="0"/>
          <w:sz w:val="22"/>
        </w:rPr>
        <w:t>Equation 1 -- Analytical Enhancement Factor (AEF):</w:t>
      </w:r>
    </w:p>
    <w:p>
      <w:pPr>
        <w:spacing w:before="160" w:after="160"/>
        <w:jc w:val="center"/>
      </w:pPr>
      <m:oMathPara>
        <m:oMath>
          <m:r>
            <m:t xml:space="preserve">AEF</m:t>
          </m:r>
          <m:r>
            <m:t xml:space="preserve">  =  </m:t>
          </m:r>
          <m:f>
            <m:fPr/>
            <m:num>
              <m:sSub>
                <m:sSubPr/>
                <m:e>
                  <m:r>
                    <m:t xml:space="preserve">I</m:t>
                  </m:r>
                </m:e>
                <m:sub>
                  <m:r>
                    <m:t xml:space="preserve">SERS</m:t>
                  </m:r>
                </m:sub>
              </m:sSub>
              <m:r>
                <m:t xml:space="preserve"> / </m:t>
              </m:r>
              <m:sSub>
                <m:sSubPr/>
                <m:e>
                  <m:r>
                    <m:t xml:space="preserve">C</m:t>
                  </m:r>
                </m:e>
                <m:sub>
                  <m:r>
                    <m:t xml:space="preserve">SERS</m:t>
                  </m:r>
                </m:sub>
              </m:sSub>
            </m:num>
            <m:den>
              <m:sSub>
                <m:sSubPr/>
                <m:e>
                  <m:r>
                    <m:t xml:space="preserve">I</m:t>
                  </m:r>
                </m:e>
                <m:sub>
                  <m:r>
                    <m:t xml:space="preserve">RS</m:t>
                  </m:r>
                </m:sub>
              </m:sSub>
              <m:r>
                <m:t xml:space="preserve"> / </m:t>
              </m:r>
              <m:sSub>
                <m:sSubPr/>
                <m:e>
                  <m:r>
                    <m:t xml:space="preserve">C</m:t>
                  </m:r>
                </m:e>
                <m:sub>
                  <m:r>
                    <m:t xml:space="preserve">RS</m:t>
                  </m:r>
                </m:sub>
              </m:sSub>
            </m:den>
          </m:f>
          <m:r>
            <m:t xml:space="preserve">   =   </m:t>
          </m:r>
          <m:f>
            <m:fPr/>
            <m:num>
              <m:sSub>
                <m:sSubPr/>
                <m:e>
                  <m:r>
                    <m:t xml:space="preserve">I</m:t>
                  </m:r>
                </m:e>
                <m:sub>
                  <m:r>
                    <m:t xml:space="preserve">SERS</m:t>
                  </m:r>
                </m:sub>
              </m:sSub>
            </m:num>
            <m:den>
              <m:sSub>
                <m:sSubPr/>
                <m:e>
                  <m:r>
                    <m:t xml:space="preserve">I</m:t>
                  </m:r>
                </m:e>
                <m:sub>
                  <m:r>
                    <m:t xml:space="preserve">RS</m:t>
                  </m:r>
                </m:sub>
              </m:sSub>
            </m:den>
          </m:f>
          <m:r>
            <m:t xml:space="preserve">  x  </m:t>
          </m:r>
          <m:f>
            <m:fPr/>
            <m:num>
              <m:sSub>
                <m:sSubPr/>
                <m:e>
                  <m:r>
                    <m:t xml:space="preserve">C</m:t>
                  </m:r>
                </m:e>
                <m:sub>
                  <m:r>
                    <m:t xml:space="preserve">RS</m:t>
                  </m:r>
                </m:sub>
              </m:sSub>
            </m:num>
            <m:den>
              <m:sSub>
                <m:sSubPr/>
                <m:e>
                  <m:r>
                    <m:t xml:space="preserve">C</m:t>
                  </m:r>
                </m:e>
                <m:sub>
                  <m:r>
                    <m:t xml:space="preserve">SERS</m:t>
                  </m:r>
                </m:sub>
              </m:sSub>
            </m:den>
          </m:f>
        </m:oMath>
      </m:oMathPara>
    </w:p>
    <w:p>
      <w:pPr>
        <w:spacing w:before="0" w:after="40"/>
        <w:jc w:val="left"/>
      </w:pPr>
      <w:r>
        <w:rPr>
          <w:b w:val="0"/>
          <w:i w:val="0"/>
          <w:sz w:val="22"/>
        </w:rPr>
        <w:t>Where:</w:t>
      </w:r>
    </w:p>
    <w:p>
      <w:pPr>
        <w:pStyle w:val="ListBullet"/>
        <w:spacing w:after="80"/>
      </w:pPr>
      <w:r>
        <w:rPr>
          <w:sz w:val="22"/>
        </w:rPr>
      </w:r>
      <w:r>
        <w:rPr>
          <w:b/>
          <w:sz w:val="22"/>
        </w:rPr>
        <w:t>I_SERS</w:t>
      </w:r>
      <w:r>
        <w:rPr>
          <w:sz w:val="22"/>
        </w:rPr>
        <w:t xml:space="preserve"> = intensity of a selected Raman peak in the SERS spectrum at concentration C_SERS</w:t>
      </w:r>
    </w:p>
    <w:p>
      <w:pPr>
        <w:pStyle w:val="ListBullet"/>
        <w:spacing w:after="80"/>
      </w:pPr>
      <w:r>
        <w:rPr>
          <w:sz w:val="22"/>
        </w:rPr>
      </w:r>
      <w:r>
        <w:rPr>
          <w:b/>
          <w:sz w:val="22"/>
        </w:rPr>
        <w:t>I_RS</w:t>
      </w:r>
      <w:r>
        <w:rPr>
          <w:sz w:val="22"/>
        </w:rPr>
        <w:t xml:space="preserve">   = intensity of the same Raman peak in a normal (non-SERS) Raman spectrum at concentration C_RS</w:t>
      </w:r>
    </w:p>
    <w:p>
      <w:pPr>
        <w:pStyle w:val="ListBullet"/>
        <w:spacing w:after="80"/>
      </w:pPr>
      <w:r>
        <w:rPr>
          <w:sz w:val="22"/>
        </w:rPr>
      </w:r>
      <w:r>
        <w:rPr>
          <w:b/>
          <w:sz w:val="22"/>
        </w:rPr>
        <w:t>C_SERS</w:t>
      </w:r>
      <w:r>
        <w:rPr>
          <w:sz w:val="22"/>
        </w:rPr>
        <w:t xml:space="preserve"> = analyte concentration used for SERS  =  10^-10 M  (this paper)</w:t>
      </w:r>
    </w:p>
    <w:p>
      <w:pPr>
        <w:pStyle w:val="ListBullet"/>
        <w:spacing w:after="80"/>
      </w:pPr>
      <w:r>
        <w:rPr>
          <w:sz w:val="22"/>
        </w:rPr>
      </w:r>
      <w:r>
        <w:rPr>
          <w:b/>
          <w:sz w:val="22"/>
        </w:rPr>
        <w:t>C_RS</w:t>
      </w:r>
      <w:r>
        <w:rPr>
          <w:sz w:val="22"/>
        </w:rPr>
        <w:t xml:space="preserve">   = reference concentration for normal Raman  =  10^-4 M  (this paper)</w:t>
      </w:r>
    </w:p>
    <w:p>
      <w:pPr>
        <w:spacing w:before="0" w:after="80"/>
        <w:jc w:val="left"/>
      </w:pPr>
      <w:r>
        <w:rPr>
          <w:b w:val="0"/>
          <w:i w:val="0"/>
          <w:sz w:val="22"/>
        </w:rPr>
        <w:br/>
        <w:t>Substituting the authors' values:</w:t>
      </w:r>
    </w:p>
    <w:p>
      <w:pPr>
        <w:spacing w:before="0" w:after="40"/>
        <w:jc w:val="left"/>
      </w:pPr>
      <w:r>
        <w:rPr>
          <w:b/>
          <w:i w:val="0"/>
          <w:sz w:val="22"/>
        </w:rPr>
        <w:t>Equation 2 -- Substituted form:</w:t>
      </w:r>
    </w:p>
    <w:p>
      <w:pPr>
        <w:spacing w:before="160" w:after="160"/>
        <w:jc w:val="center"/>
      </w:pPr>
      <m:oMathPara>
        <m:oMath>
          <m:r>
            <m:t xml:space="preserve">AEF</m:t>
          </m:r>
          <m:r>
            <m:t xml:space="preserve">  =  </m:t>
          </m:r>
          <m:f>
            <m:fPr/>
            <m:num>
              <m:sSub>
                <m:sSubPr/>
                <m:e>
                  <m:r>
                    <m:t xml:space="preserve">I</m:t>
                  </m:r>
                </m:e>
                <m:sub>
                  <m:r>
                    <m:t xml:space="preserve">SERS</m:t>
                  </m:r>
                </m:sub>
              </m:sSub>
            </m:num>
            <m:den>
              <m:sSub>
                <m:sSubPr/>
                <m:e>
                  <m:r>
                    <m:t xml:space="preserve">I</m:t>
                  </m:r>
                </m:e>
                <m:sub>
                  <m:r>
                    <m:t xml:space="preserve">RS</m:t>
                  </m:r>
                </m:sub>
              </m:sSub>
            </m:den>
          </m:f>
          <m:r>
            <m:t xml:space="preserve">  x  </m:t>
          </m:r>
          <m:f>
            <m:fPr/>
            <m:num>
              <m:sSup>
                <m:sSupPr/>
                <m:e>
                  <m:r>
                    <m:t xml:space="preserve">10</m:t>
                  </m:r>
                </m:e>
                <m:sup>
                  <m:r>
                    <m:t xml:space="preserve">-4</m:t>
                  </m:r>
                </m:sup>
              </m:sSup>
            </m:num>
            <m:den>
              <m:sSup>
                <m:sSupPr/>
                <m:e>
                  <m:r>
                    <m:t xml:space="preserve">10</m:t>
                  </m:r>
                </m:e>
                <m:sup>
                  <m:r>
                    <m:t xml:space="preserve">-10</m:t>
                  </m:r>
                </m:sup>
              </m:sSup>
            </m:den>
          </m:f>
          <m:r>
            <m:t xml:space="preserve">   =   </m:t>
          </m:r>
          <m:f>
            <m:fPr/>
            <m:num>
              <m:sSub>
                <m:sSubPr/>
                <m:e>
                  <m:r>
                    <m:t xml:space="preserve">I</m:t>
                  </m:r>
                </m:e>
                <m:sub>
                  <m:r>
                    <m:t xml:space="preserve">SERS</m:t>
                  </m:r>
                </m:sub>
              </m:sSub>
            </m:num>
            <m:den>
              <m:sSub>
                <m:sSubPr/>
                <m:e>
                  <m:r>
                    <m:t xml:space="preserve">I</m:t>
                  </m:r>
                </m:e>
                <m:sub>
                  <m:r>
                    <m:t xml:space="preserve">RS</m:t>
                  </m:r>
                </m:sub>
              </m:sSub>
            </m:den>
          </m:f>
          <m:r>
            <m:t xml:space="preserve">  x  10</m:t>
          </m:r>
          <m:sSup>
            <m:sSupPr/>
            <m:e>
              <m:r>
                <m:t xml:space="preserve"/>
              </m:r>
            </m:e>
            <m:sup>
              <m:r>
                <m:t xml:space="preserve">6</m:t>
              </m:r>
            </m:sup>
          </m:sSup>
        </m:oMath>
      </m:oMathPara>
    </w:p>
    <w:p>
      <w:pPr>
        <w:spacing w:before="0" w:after="120"/>
        <w:jc w:val="left"/>
      </w:pPr>
      <w:r>
        <w:rPr>
          <w:b w:val="0"/>
          <w:i w:val="0"/>
          <w:sz w:val="22"/>
        </w:rPr>
        <w:t>The concentration ratio alone contributes a factor of 10^6. For AEF = 6.1x10^6, the intensity ratio must be I_SERS / I_RS = 6.1. This numerical value must be stated explicitly in the manuscript with the raw intensity readings from Figure 12. Without it, the EF claim cannot be independently verified.</w:t>
      </w:r>
    </w:p>
    <w:p>
      <w:pPr>
        <w:spacing w:before="0" w:after="80"/>
        <w:jc w:val="left"/>
      </w:pPr>
      <w:r>
        <w:rPr>
          <w:b/>
          <w:i w:val="0"/>
          <w:sz w:val="22"/>
        </w:rPr>
        <w:t>Mandatory items currently absent from the manuscript:</w:t>
      </w:r>
    </w:p>
    <w:p>
      <w:pPr>
        <w:pStyle w:val="ListBullet"/>
        <w:spacing w:after="80"/>
      </w:pPr>
      <w:r>
        <w:rPr>
          <w:sz w:val="22"/>
        </w:rPr>
        <w:t>State which Raman peak was used for the calculation (presumably 1622 cm-1 from Figure 12)</w:t>
      </w:r>
    </w:p>
    <w:p>
      <w:pPr>
        <w:pStyle w:val="ListBullet"/>
        <w:spacing w:after="80"/>
      </w:pPr>
      <w:r>
        <w:rPr>
          <w:sz w:val="22"/>
        </w:rPr>
        <w:t>Report the numerical values of I_SERS and I_RS (in counts or a.u.)</w:t>
      </w:r>
    </w:p>
    <w:p>
      <w:pPr>
        <w:pStyle w:val="ListBullet"/>
        <w:spacing w:after="80"/>
      </w:pPr>
      <w:r>
        <w:rPr>
          <w:sz w:val="22"/>
        </w:rPr>
        <w:t>Confirm that laser power and integration time were identical for both spectra</w:t>
      </w:r>
    </w:p>
    <w:p>
      <w:pPr>
        <w:pStyle w:val="ListBullet"/>
        <w:spacing w:after="80"/>
      </w:pPr>
      <w:r>
        <w:rPr>
          <w:sz w:val="22"/>
        </w:rPr>
        <w:t>Label the EF type as AEF -- it is not a Single-Molecule EF (SMEF) or Surface EF (SEF)</w:t>
      </w:r>
    </w:p>
    <w:p>
      <w:pPr>
        <w:pStyle w:val="ListBullet"/>
        <w:spacing w:after="80"/>
      </w:pPr>
      <w:r>
        <w:rPr>
          <w:sz w:val="22"/>
        </w:rPr>
        <w:t>Show the reference Raman spectrum of MB at 10^-4 M on silicon as a figure or supplementary data</w:t>
      </w:r>
    </w:p>
    <w:p>
      <w:pPr>
        <w:spacing w:before="0" w:after="80"/>
        <w:jc w:val="left"/>
      </w:pPr>
      <w:r>
        <w:rPr>
          <w:b w:val="0"/>
          <w:i w:val="0"/>
          <w:sz w:val="22"/>
        </w:rPr>
        <w:br/>
        <w:t>For a more physically rigorous determination, the Surface Enhancement Factor (SEF) should be calculated (Le Ru &amp; Etchegoin, Eq. 4.6-4.9, pp. 188-190):</w:t>
      </w:r>
    </w:p>
    <w:p>
      <w:pPr>
        <w:spacing w:before="0" w:after="40"/>
        <w:jc w:val="left"/>
      </w:pPr>
      <w:r>
        <w:rPr>
          <w:b/>
          <w:i w:val="0"/>
          <w:sz w:val="22"/>
        </w:rPr>
        <w:t>Equation 3 -- Surface Enhancement Factor (SEF):</w:t>
      </w:r>
    </w:p>
    <w:p>
      <w:pPr>
        <w:spacing w:before="160" w:after="160"/>
        <w:jc w:val="center"/>
      </w:pPr>
      <m:oMathPara>
        <m:oMath>
          <m:r>
            <m:t xml:space="preserve">EF</m:t>
          </m:r>
          <m:r>
            <m:t xml:space="preserve">  =  </m:t>
          </m:r>
          <m:f>
            <m:fPr/>
            <m:num>
              <m:sSub>
                <m:sSubPr/>
                <m:e>
                  <m:r>
                    <m:t xml:space="preserve">I</m:t>
                  </m:r>
                </m:e>
                <m:sub>
                  <m:r>
                    <m:t xml:space="preserve">SERS</m:t>
                  </m:r>
                </m:sub>
              </m:sSub>
              <m:r>
                <m:t xml:space="preserve"> / </m:t>
              </m:r>
              <m:sSub>
                <m:sSubPr/>
                <m:e>
                  <m:r>
                    <m:t xml:space="preserve">N</m:t>
                  </m:r>
                </m:e>
                <m:sub>
                  <m:r>
                    <m:t xml:space="preserve">surf</m:t>
                  </m:r>
                </m:sub>
              </m:sSub>
            </m:num>
            <m:den>
              <m:sSub>
                <m:sSubPr/>
                <m:e>
                  <m:r>
                    <m:t xml:space="preserve">I</m:t>
                  </m:r>
                </m:e>
                <m:sub>
                  <m:r>
                    <m:t xml:space="preserve">RS</m:t>
                  </m:r>
                </m:sub>
              </m:sSub>
              <m:r>
                <m:t xml:space="preserve"> / </m:t>
              </m:r>
              <m:sSub>
                <m:sSubPr/>
                <m:e>
                  <m:r>
                    <m:t xml:space="preserve">N</m:t>
                  </m:r>
                </m:e>
                <m:sub>
                  <m:r>
                    <m:t xml:space="preserve">vol</m:t>
                  </m:r>
                </m:sub>
              </m:sSub>
            </m:den>
          </m:f>
        </m:oMath>
      </m:oMathPara>
    </w:p>
    <w:p>
      <w:pPr>
        <w:spacing w:before="0" w:after="40"/>
        <w:jc w:val="left"/>
      </w:pPr>
      <w:r>
        <w:rPr>
          <w:b/>
          <w:i w:val="0"/>
          <w:sz w:val="22"/>
        </w:rPr>
        <w:t>Equation 4 -- Number of molecules:</w:t>
      </w:r>
    </w:p>
    <w:p>
      <w:pPr>
        <w:spacing w:before="160" w:after="160"/>
        <w:jc w:val="center"/>
      </w:pPr>
      <m:oMathPara>
        <m:oMath>
          <m:sSub>
            <m:sSubPr/>
            <m:e>
              <m:r>
                <m:t xml:space="preserve">N</m:t>
              </m:r>
            </m:e>
            <m:sub>
              <m:r>
                <m:t xml:space="preserve">vol</m:t>
              </m:r>
            </m:sub>
          </m:sSub>
          <m:r>
            <m:t xml:space="preserve">  =  </m:t>
          </m:r>
          <m:sSub>
            <m:sSubPr/>
            <m:e>
              <m:r>
                <m:t xml:space="preserve">C</m:t>
              </m:r>
            </m:e>
            <m:sub>
              <m:r>
                <m:t xml:space="preserve">RS</m:t>
              </m:r>
            </m:sub>
          </m:sSub>
          <m:r>
            <m:t xml:space="preserve">  x  </m:t>
          </m:r>
          <m:sSub>
            <m:sSubPr/>
            <m:e>
              <m:r>
                <m:t xml:space="preserve">N</m:t>
              </m:r>
            </m:e>
            <m:sub>
              <m:r>
                <m:t xml:space="preserve">A</m:t>
              </m:r>
            </m:sub>
          </m:sSub>
          <m:r>
            <m:t xml:space="preserve">  x  </m:t>
          </m:r>
          <m:sSub>
            <m:sSubPr/>
            <m:e>
              <m:r>
                <m:t xml:space="preserve">V</m:t>
              </m:r>
            </m:e>
            <m:sub>
              <m:r>
                <m:t xml:space="preserve">focal</m:t>
              </m:r>
            </m:sub>
          </m:sSub>
          <m:r>
            <m:t xml:space="preserve">          </m:t>
          </m:r>
          <m:sSub>
            <m:sSubPr/>
            <m:e>
              <m:r>
                <m:t xml:space="preserve">N</m:t>
              </m:r>
            </m:e>
            <m:sub>
              <m:r>
                <m:t xml:space="preserve">surf</m:t>
              </m:r>
            </m:sub>
          </m:sSub>
          <m:r>
            <m:t xml:space="preserve">  =  </m:t>
          </m:r>
          <m:sSub>
            <m:sSubPr/>
            <m:e>
              <m:r>
                <m:t xml:space="preserve">C</m:t>
              </m:r>
            </m:e>
            <m:sub>
              <m:r>
                <m:t xml:space="preserve">surf</m:t>
              </m:r>
            </m:sub>
          </m:sSub>
          <m:r>
            <m:t xml:space="preserve">  x  </m:t>
          </m:r>
          <m:sSub>
            <m:sSubPr/>
            <m:e>
              <m:r>
                <m:t xml:space="preserve">A</m:t>
              </m:r>
            </m:e>
            <m:sub>
              <m:r>
                <m:t xml:space="preserve">spot</m:t>
              </m:r>
            </m:sub>
          </m:sSub>
        </m:oMath>
      </m:oMathPara>
    </w:p>
    <w:p>
      <w:pPr>
        <w:pStyle w:val="ListBullet"/>
        <w:spacing w:after="80"/>
      </w:pPr>
      <w:r>
        <w:rPr>
          <w:sz w:val="22"/>
        </w:rPr>
      </w:r>
      <w:r>
        <w:rPr>
          <w:b/>
          <w:sz w:val="22"/>
        </w:rPr>
        <w:t>N_A</w:t>
      </w:r>
      <w:r>
        <w:rPr>
          <w:sz w:val="22"/>
        </w:rPr>
        <w:t xml:space="preserve"> = Avogadro number = 6.022 x 10^23 mol^-1</w:t>
      </w:r>
    </w:p>
    <w:p>
      <w:pPr>
        <w:pStyle w:val="ListBullet"/>
        <w:spacing w:after="80"/>
      </w:pPr>
      <w:r>
        <w:rPr>
          <w:sz w:val="22"/>
        </w:rPr>
      </w:r>
      <w:r>
        <w:rPr>
          <w:b/>
          <w:sz w:val="22"/>
        </w:rPr>
        <w:t>V_focal</w:t>
      </w:r>
      <w:r>
        <w:rPr>
          <w:sz w:val="22"/>
        </w:rPr>
        <w:t xml:space="preserve"> = confocal probe volume of LabRAM HR 800 (typically 1-10 pL; instrument specification must be stated)</w:t>
      </w:r>
    </w:p>
    <w:p>
      <w:pPr>
        <w:pStyle w:val="ListBullet"/>
        <w:spacing w:after="80"/>
      </w:pPr>
      <w:r>
        <w:rPr>
          <w:sz w:val="22"/>
        </w:rPr>
      </w:r>
      <w:r>
        <w:rPr>
          <w:b/>
          <w:sz w:val="22"/>
        </w:rPr>
        <w:t>A_spot</w:t>
      </w:r>
      <w:r>
        <w:rPr>
          <w:sz w:val="22"/>
        </w:rPr>
        <w:t xml:space="preserve"> = laser spot area = pi x r^2 where r = half the laser spot diameter</w:t>
      </w:r>
    </w:p>
    <w:p>
      <w:pPr>
        <w:pStyle w:val="ListBullet"/>
        <w:spacing w:after="80"/>
      </w:pPr>
      <w:r>
        <w:rPr>
          <w:sz w:val="22"/>
        </w:rPr>
      </w:r>
      <w:r>
        <w:rPr>
          <w:b/>
          <w:sz w:val="22"/>
        </w:rPr>
        <w:t>C_surf</w:t>
      </w:r>
      <w:r>
        <w:rPr>
          <w:sz w:val="22"/>
        </w:rPr>
        <w:t xml:space="preserve"> = surface concentration of MB on substrate (mol/cm^2) -- requires adsorption calibration or estimation</w:t>
      </w:r>
    </w:p>
    <w:p/>
    <w:p>
      <w:pPr>
        <w:spacing w:before="240" w:after="80"/>
      </w:pPr>
      <w:r>
        <w:rPr>
          <w:b/>
          <w:color w:val="1F497D"/>
          <w:sz w:val="24"/>
        </w:rPr>
        <w:t>Comment 2 -- FDTD Model is Physically Inconsistent with the Real Substrate</w:t>
      </w:r>
    </w:p>
    <w:p>
      <w:pPr>
        <w:spacing w:before="0" w:after="120"/>
        <w:jc w:val="left"/>
      </w:pPr>
      <w:r>
        <w:rPr>
          <w:b w:val="0"/>
          <w:i w:val="0"/>
          <w:sz w:val="22"/>
        </w:rPr>
        <w:t>The FDTD simulation models the Cu/G system as a single spherical nanoparticle (diameter 100 nm) with a 1 nm graphene shell. The actual substrate consists of a dense network of 1D nanowires (approx. 100 nm diameter). This geometric mismatch has serious physical consequences.</w:t>
      </w:r>
    </w:p>
    <w:p>
      <w:pPr>
        <w:pStyle w:val="ListBullet"/>
        <w:spacing w:after="80"/>
      </w:pPr>
      <w:r>
        <w:rPr>
          <w:sz w:val="22"/>
        </w:rPr>
        <w:t>A sphere and a cylinder have fundamentally different plasmon resonance conditions: different resonance wavelengths, Q-factors, and near-field spatial profiles.</w:t>
      </w:r>
    </w:p>
    <w:p>
      <w:pPr>
        <w:pStyle w:val="ListBullet"/>
        <w:spacing w:after="80"/>
      </w:pPr>
      <w:r>
        <w:rPr>
          <w:sz w:val="22"/>
        </w:rPr>
        <w:t>SERS hot spots in nanowire networks arise at nanogap junctions between crossing wires, not at the surface of an isolated sphere. These junction hot spots dominate the total EF.</w:t>
      </w:r>
    </w:p>
    <w:p>
      <w:pPr>
        <w:pStyle w:val="ListBullet"/>
        <w:spacing w:after="80"/>
      </w:pPr>
      <w:r>
        <w:rPr>
          <w:sz w:val="22"/>
        </w:rPr>
        <w:t>The FDTD output shows |E|^2 (near-field intensity) maps. However, SERS enhancement scales as |E/E_0|^4, not |E|^2. This is stated by the classical electromagnetic theory of SERS (Moskovits, Rev. Mod. Phys. 57, 783, 1985). The correct formula is given below.</w:t>
      </w:r>
    </w:p>
    <w:p>
      <w:pPr>
        <w:spacing w:before="0" w:after="40"/>
        <w:jc w:val="left"/>
      </w:pPr>
      <w:r>
        <w:rPr>
          <w:b/>
          <w:i w:val="0"/>
          <w:sz w:val="22"/>
        </w:rPr>
        <w:t>Equation 5 -- Electromagnetic Enhancement Factor:</w:t>
      </w:r>
    </w:p>
    <w:p>
      <w:pPr>
        <w:spacing w:before="160" w:after="160"/>
        <w:jc w:val="center"/>
      </w:pPr>
      <m:oMathPara>
        <m:oMath>
          <m:sSub>
            <m:sSubPr/>
            <m:e>
              <m:r>
                <m:t xml:space="preserve">EF</m:t>
              </m:r>
            </m:e>
            <m:sub>
              <m:r>
                <m:t xml:space="preserve">EM</m:t>
              </m:r>
            </m:sub>
          </m:sSub>
          <m:r>
            <m:t xml:space="preserve">  ~  </m:t>
          </m:r>
          <m:sSup>
            <m:sSupPr/>
            <m:e>
              <m:r>
                <m:t xml:space="preserve">
                  <m:r>
                    <m:t xml:space="preserve">( |E(r)| / |E</m:t>
                  </m:r>
                  <m:sSub>
                    <m:sSubPr/>
                    <m:e>
                      <m:r>
                        <m:t xml:space="preserve">0</m:t>
                      </m:r>
                    </m:e>
                    <m:sub>
                      <m:r>
                        <m:t xml:space="preserve"/>
                      </m:r>
                    </m:sub>
                  </m:sSub>
                  <m:r>
                    <m:t xml:space="preserve">| )</m:t>
                  </m:r>
                </m:t>
              </m:r>
            </m:e>
            <m:sup>
              <m:r>
                <m:t xml:space="preserve">4</m:t>
              </m:r>
            </m:sup>
          </m:sSup>
        </m:oMath>
      </m:oMathPara>
    </w:p>
    <w:p>
      <w:pPr>
        <w:spacing w:before="0" w:after="200"/>
        <w:jc w:val="left"/>
      </w:pPr>
      <w:r>
        <w:rPr>
          <w:b w:val="0"/>
          <w:i w:val="0"/>
          <w:sz w:val="22"/>
        </w:rPr>
        <w:t>The authors must either: (a) re-run the FDTD simulation for two crossing nanowires with a realistic nanogap and present |E/E_0|^4 enhancement maps, or (b) explicitly acknowledge that the sphere model is a severe simplification and cannot quantitatively reproduce the experimental EF.</w:t>
      </w:r>
    </w:p>
    <w:p>
      <w:pPr>
        <w:spacing w:before="240" w:after="80"/>
      </w:pPr>
      <w:r>
        <w:rPr>
          <w:b/>
          <w:color w:val="1F497D"/>
          <w:sz w:val="24"/>
        </w:rPr>
        <w:t>Comment 3 -- Graphene Quality: D/G Ratio Not Quantified</w:t>
      </w:r>
    </w:p>
    <w:p>
      <w:pPr>
        <w:spacing w:before="0" w:after="120"/>
        <w:jc w:val="left"/>
      </w:pPr>
      <w:r>
        <w:rPr>
          <w:b w:val="0"/>
          <w:i w:val="0"/>
          <w:sz w:val="22"/>
        </w:rPr>
        <w:t>Figure 7 shows the Raman spectrum of the graphene layer with a strong D band at 1367 cm-1, a G band at 1580 cm-1, and a very weak 2D band. A high D/G ratio indicates defective graphene or nanocrystalline carbon -- not high-quality monolayer graphene. The authors do not report the D/G ratio, which is the standard quality metric for graphene characterisation.</w:t>
      </w:r>
    </w:p>
    <w:p>
      <w:pPr>
        <w:spacing w:before="0" w:after="80"/>
        <w:jc w:val="left"/>
      </w:pPr>
      <w:r>
        <w:rPr>
          <w:b w:val="0"/>
          <w:i w:val="0"/>
          <w:sz w:val="22"/>
        </w:rPr>
        <w:t>The average sp2 crystallite domain size L_a can be estimated from the Tuinstra-Koenig relation (Tuinstra &amp; Koenig, J. Chem. Phys. 53, 1126, 1970):</w:t>
      </w:r>
    </w:p>
    <w:p>
      <w:pPr>
        <w:spacing w:before="0" w:after="40"/>
        <w:jc w:val="left"/>
      </w:pPr>
      <w:r>
        <w:rPr>
          <w:b/>
          <w:i w:val="0"/>
          <w:sz w:val="22"/>
        </w:rPr>
        <w:t>Equation 6 -- Tuinstra-Koenig formula:</w:t>
      </w:r>
    </w:p>
    <w:p>
      <w:pPr>
        <w:spacing w:before="160" w:after="160"/>
        <w:jc w:val="center"/>
      </w:pPr>
      <m:oMathPara>
        <m:oMath>
          <m:sSub>
            <m:sSubPr/>
            <m:e>
              <m:r>
                <m:t xml:space="preserve">L</m:t>
              </m:r>
            </m:e>
            <m:sub>
              <m:r>
                <m:t xml:space="preserve">a</m:t>
              </m:r>
            </m:sub>
          </m:sSub>
          <m:r>
            <m:t xml:space="preserve">  (nm)  =  (2.4 x 10</m:t>
          </m:r>
          <m:sSup>
            <m:sSupPr/>
            <m:e>
              <m:r>
                <m:t xml:space="preserve"/>
              </m:r>
            </m:e>
            <m:sup>
              <m:r>
                <m:t xml:space="preserve">-10</m:t>
              </m:r>
            </m:sup>
          </m:sSup>
          <m:r>
            <m:t xml:space="preserve">) x </m:t>
          </m:r>
          <m:sSup>
            <m:sSupPr/>
            <m:e>
              <m:r>
                <m:t xml:space="preserve">
                  <m:r>
                    <m:t xml:space="preserve">lambda</m:t>
                  </m:r>
                </m:t>
              </m:r>
            </m:e>
            <m:sup>
              <m:r>
                <m:t xml:space="preserve">4</m:t>
              </m:r>
            </m:sup>
          </m:sSup>
          <m:r>
            <m:t xml:space="preserve">  x  </m:t>
          </m:r>
          <m:f>
            <m:fPr/>
            <m:num>
              <m:r>
                <m:t xml:space="preserve">I(G)</m:t>
              </m:r>
            </m:num>
            <m:den>
              <m:r>
                <m:t xml:space="preserve">I(D)</m:t>
              </m:r>
            </m:den>
          </m:f>
        </m:oMath>
      </m:oMathPara>
    </w:p>
    <w:p>
      <w:pPr>
        <w:spacing w:before="0" w:after="200"/>
        <w:jc w:val="left"/>
      </w:pPr>
      <w:r>
        <w:rPr>
          <w:b w:val="0"/>
          <w:i w:val="0"/>
          <w:sz w:val="22"/>
        </w:rPr>
        <w:t>where lambda = excitation wavelength in nm (632.8 nm in this study). The authors must: (a) report the I(D)/I(G) intensity ratio; (b) calculate L_a and report the domain size; (c) discuss the implications of defective graphene for both SERS chemical enhancement and oxidation protection efficiency.</w:t>
      </w:r>
    </w:p>
    <w:p>
      <w:pPr>
        <w:spacing w:before="240" w:after="80"/>
      </w:pPr>
      <w:r>
        <w:rPr>
          <w:b/>
          <w:color w:val="1F497D"/>
          <w:sz w:val="24"/>
        </w:rPr>
        <w:t>Comment 4 -- Oxidation Protection Claim: Evidence is Indirect</w:t>
      </w:r>
    </w:p>
    <w:p>
      <w:pPr>
        <w:spacing w:before="0" w:after="120"/>
        <w:jc w:val="left"/>
      </w:pPr>
      <w:r>
        <w:rPr>
          <w:b w:val="0"/>
          <w:i w:val="0"/>
          <w:sz w:val="22"/>
        </w:rPr>
        <w:t>The 90-day stability claim -- the central practical contribution of this paper -- is supported only by the absence of CuO/Cu2O Raman peaks in Figure 10a. Raman spectroscopy cannot detect sub-monolayer surface oxide formation. Two critical experiments are missing:</w:t>
      </w:r>
    </w:p>
    <w:p>
      <w:pPr>
        <w:pStyle w:val="ListBullet"/>
        <w:spacing w:after="80"/>
      </w:pPr>
      <w:r>
        <w:rPr>
          <w:sz w:val="22"/>
        </w:rPr>
      </w:r>
      <w:r>
        <w:rPr>
          <w:b/>
          <w:sz w:val="22"/>
        </w:rPr>
        <w:t>XPS measurement of the Cu 2p(3/2) peak</w:t>
      </w:r>
      <w:r>
        <w:rPr>
          <w:sz w:val="22"/>
        </w:rPr>
        <w:t>: Cu(0) appears at approx. 932.6 eV; Cu(2+) at approx. 933.6 eV. Comparing Cu/G vs. bare Cu nanowires before and after 90 days of ageing would provide definitive, quantitative evidence of oxidation suppression.</w:t>
      </w:r>
    </w:p>
    <w:p>
      <w:pPr>
        <w:pStyle w:val="ListBullet"/>
        <w:spacing w:after="80"/>
      </w:pPr>
      <w:r>
        <w:rPr>
          <w:sz w:val="22"/>
        </w:rPr>
      </w:r>
      <w:r>
        <w:rPr>
          <w:b/>
          <w:sz w:val="22"/>
        </w:rPr>
        <w:t>Control experiment</w:t>
      </w:r>
      <w:r>
        <w:rPr>
          <w:sz w:val="22"/>
        </w:rPr>
        <w:t>: Bare Cu nanowires stored under identical conditions must be characterised at the same time points. Without this, the superior stability of Cu/G cannot be causally attributed to graphene protection.</w:t>
      </w:r>
    </w:p>
    <w:p>
      <w:pPr>
        <w:pStyle w:val="ListBullet"/>
        <w:spacing w:after="80"/>
      </w:pPr>
      <w:r>
        <w:rPr>
          <w:sz w:val="22"/>
        </w:rPr>
        <w:t>A time-series study at 1, 7, 30, and 90 days for both Cu and Cu/G would make a compelling quantitative case and significantly strengthen the paper.</w:t>
      </w:r>
    </w:p>
    <w:p/>
    <w:p>
      <w:pPr>
        <w:spacing w:before="240" w:after="80"/>
      </w:pPr>
      <w:r>
        <w:rPr>
          <w:b/>
          <w:color w:val="1F497D"/>
          <w:sz w:val="24"/>
        </w:rPr>
        <w:t>Comment 5 -- LOD Calculation: IUPAC Formula Not Applied</w:t>
      </w:r>
    </w:p>
    <w:p>
      <w:pPr>
        <w:spacing w:before="0" w:after="120"/>
        <w:jc w:val="left"/>
      </w:pPr>
      <w:r>
        <w:rPr>
          <w:b w:val="0"/>
          <w:i w:val="0"/>
          <w:sz w:val="22"/>
        </w:rPr>
        <w:t>The Limit of Detection (LOD = 5.69x10^-11 M) is reported without stating how it was calculated. The IUPAC-standard formula, required by all analytical chemistry journals, is:</w:t>
      </w:r>
    </w:p>
    <w:p>
      <w:pPr>
        <w:spacing w:before="0" w:after="40"/>
        <w:jc w:val="left"/>
      </w:pPr>
      <w:r>
        <w:rPr>
          <w:b/>
          <w:i w:val="0"/>
          <w:sz w:val="22"/>
        </w:rPr>
        <w:t>Equation 7 -- IUPAC Limit of Detection:</w:t>
      </w:r>
    </w:p>
    <w:p>
      <w:pPr>
        <w:spacing w:before="160" w:after="160"/>
        <w:jc w:val="center"/>
      </w:pPr>
      <m:oMathPara>
        <m:oMath>
          <m:r>
            <m:t xml:space="preserve">LOD</m:t>
          </m:r>
          <m:r>
            <m:t xml:space="preserve">  =  </m:t>
          </m:r>
          <m:f>
            <m:fPr/>
            <m:num>
              <m:r>
                <m:t xml:space="preserve">3 sigma</m:t>
              </m:r>
            </m:num>
            <m:den>
              <m:r>
                <m:t xml:space="preserve">S</m:t>
              </m:r>
            </m:den>
          </m:f>
        </m:oMath>
      </m:oMathPara>
    </w:p>
    <w:p>
      <w:pPr>
        <w:spacing w:before="0" w:after="40"/>
        <w:jc w:val="left"/>
      </w:pPr>
      <w:r>
        <w:rPr>
          <w:b w:val="0"/>
          <w:i w:val="0"/>
          <w:sz w:val="22"/>
        </w:rPr>
        <w:t>Where:</w:t>
      </w:r>
    </w:p>
    <w:p>
      <w:pPr>
        <w:pStyle w:val="ListBullet"/>
        <w:spacing w:after="80"/>
      </w:pPr>
      <w:r>
        <w:rPr>
          <w:sz w:val="22"/>
        </w:rPr>
      </w:r>
      <w:r>
        <w:rPr>
          <w:b/>
          <w:sz w:val="22"/>
        </w:rPr>
        <w:t>sigma</w:t>
      </w:r>
      <w:r>
        <w:rPr>
          <w:sz w:val="22"/>
        </w:rPr>
        <w:t xml:space="preserve"> = standard deviation of the blank signal (substrate without analyte, minimum 10 repeat measurements)</w:t>
      </w:r>
    </w:p>
    <w:p>
      <w:pPr>
        <w:pStyle w:val="ListBullet"/>
        <w:spacing w:after="80"/>
      </w:pPr>
      <w:r>
        <w:rPr>
          <w:sz w:val="22"/>
        </w:rPr>
      </w:r>
      <w:r>
        <w:rPr>
          <w:b/>
          <w:sz w:val="22"/>
        </w:rPr>
        <w:t>S</w:t>
      </w:r>
      <w:r>
        <w:rPr>
          <w:sz w:val="22"/>
        </w:rPr>
        <w:t xml:space="preserve"> = slope of the calibration curve from Figure 12b (SERS intensity vs. log[C_MB])</w:t>
      </w:r>
    </w:p>
    <w:p>
      <w:pPr>
        <w:spacing w:before="0" w:after="200"/>
        <w:jc w:val="left"/>
      </w:pPr>
      <w:r>
        <w:rPr>
          <w:b w:val="0"/>
          <w:i w:val="0"/>
          <w:sz w:val="22"/>
        </w:rPr>
        <w:t>The authors must verify that 5.69x10^-11 M was derived from this formula and present the numerical values of sigma and S. Identifying the lowest visible concentration in Figure 12a (10^-10 M) as the LOD is not acceptable by journal standards.</w:t>
      </w:r>
    </w:p>
    <w:p>
      <w:pPr>
        <w:spacing w:before="240" w:after="80"/>
      </w:pPr>
      <w:r>
        <w:rPr>
          <w:b/>
          <w:color w:val="1F497D"/>
          <w:sz w:val="24"/>
        </w:rPr>
        <w:t>Comment 6 -- Single Analyte Tested; Environmental Claims Unsupported</w:t>
      </w:r>
    </w:p>
    <w:p>
      <w:pPr>
        <w:spacing w:before="0" w:after="200"/>
        <w:jc w:val="left"/>
      </w:pPr>
      <w:r>
        <w:rPr>
          <w:b w:val="0"/>
          <w:i w:val="0"/>
          <w:sz w:val="22"/>
        </w:rPr>
        <w:t>All detection experiments use only methylene blue (MB), a strongly SERS-active dye that adsorbs on graphene via pi-pi stacking, giving artificially high sensitivity. Real environmental pollutants have different Raman cross-sections and surface affinities. The authors must either: (a) test at least one additional, non-dye analyte relevant to environmental monitoring, or (b) restrict the conclusions strictly to MB detection and remove the broad environmental monitoring claim from the abstract and conclusions.</w:t>
      </w:r>
    </w:p>
    <w:p>
      <w:pPr>
        <w:spacing w:before="240" w:after="80"/>
      </w:pPr>
      <w:r>
        <w:rPr>
          <w:b/>
          <w:color w:val="1F497D"/>
          <w:sz w:val="24"/>
        </w:rPr>
        <w:t>Comment 7 -- Rayleigh Instability: Correct Physics, Missing Quantification</w:t>
      </w:r>
    </w:p>
    <w:p>
      <w:pPr>
        <w:spacing w:before="0" w:after="120"/>
        <w:jc w:val="left"/>
      </w:pPr>
      <w:r>
        <w:rPr>
          <w:b w:val="0"/>
          <w:i w:val="0"/>
          <w:sz w:val="22"/>
        </w:rPr>
        <w:t>The discussion of nanowire fragmentation above 400 degrees C correctly invokes Rayleigh-Plateau instability and the Gibbs-Thomson effect. The physics is sound. To quantitatively support the argument that fragmentation is a solid-state phenomenon (not melting), the authors should apply the Pawlow melting point depression formula:</w:t>
      </w:r>
    </w:p>
    <w:p>
      <w:pPr>
        <w:spacing w:before="0" w:after="40"/>
        <w:jc w:val="left"/>
      </w:pPr>
      <w:r>
        <w:rPr>
          <w:b/>
          <w:i w:val="0"/>
          <w:sz w:val="22"/>
        </w:rPr>
        <w:t>Equation 8 -- Melting point depression of nanostructures (Pawlow formula):</w:t>
      </w:r>
    </w:p>
    <w:p>
      <w:pPr>
        <w:spacing w:before="160" w:after="160"/>
        <w:jc w:val="center"/>
      </w:pPr>
      <m:oMathPara>
        <m:oMath>
          <m:sSub>
            <m:sSubPr/>
            <m:e>
              <m:r>
                <m:t xml:space="preserve">T</m:t>
              </m:r>
            </m:e>
            <m:sub>
              <m:r>
                <m:t xml:space="preserve">m</m:t>
              </m:r>
            </m:sub>
          </m:sSub>
          <m:r>
            <m:t xml:space="preserve">(nano)</m:t>
          </m:r>
          <m:r>
            <m:t xml:space="preserve">  =  </m:t>
          </m:r>
          <m:sSub>
            <m:sSubPr/>
            <m:e>
              <m:r>
                <m:t xml:space="preserve">T</m:t>
              </m:r>
            </m:e>
            <m:sub>
              <m:r>
                <m:t xml:space="preserve">m</m:t>
              </m:r>
            </m:sub>
          </m:sSub>
          <m:r>
            <m:t xml:space="preserve">(bulk)</m:t>
          </m:r>
          <m:r>
            <m:t xml:space="preserve">  x  [ 1  -  </m:t>
          </m:r>
          <m:f>
            <m:fPr/>
            <m:num>
              <m:r>
                <m:t xml:space="preserve">4 gamma </m:t>
              </m:r>
              <m:sSub>
                <m:sSubPr/>
                <m:e>
                  <m:r>
                    <m:t xml:space="preserve">V</m:t>
                  </m:r>
                </m:e>
                <m:sub>
                  <m:r>
                    <m:t xml:space="preserve">m</m:t>
                  </m:r>
                </m:sub>
              </m:sSub>
            </m:num>
            <m:den>
              <m:sSub>
                <m:sSubPr/>
                <m:e>
                  <m:r>
                    <m:t xml:space="preserve">Delta H</m:t>
                  </m:r>
                </m:e>
                <m:sub>
                  <m:r>
                    <m:t xml:space="preserve">f</m:t>
                  </m:r>
                </m:sub>
              </m:sSub>
              <m:r>
                <m:t xml:space="preserve"> x </m:t>
              </m:r>
              <m:sSub>
                <m:sSubPr/>
                <m:e>
                  <m:r>
                    <m:t xml:space="preserve">rho</m:t>
                  </m:r>
                </m:e>
                <m:sub>
                  <m:r>
                    <m:t xml:space="preserve">l</m:t>
                  </m:r>
                </m:sub>
              </m:sSub>
              <m:r>
                <m:t xml:space="preserve"> x d</m:t>
              </m:r>
            </m:den>
          </m:f>
          <m:r>
            <m:t xml:space="preserve"> ]</m:t>
          </m:r>
        </m:oMath>
      </m:oMathPara>
    </w:p>
    <w:p>
      <w:pPr>
        <w:spacing w:before="0" w:after="40"/>
        <w:jc w:val="left"/>
      </w:pPr>
      <w:r>
        <w:rPr>
          <w:b w:val="0"/>
          <w:i w:val="0"/>
          <w:sz w:val="22"/>
        </w:rPr>
        <w:t>Where:</w:t>
      </w:r>
    </w:p>
    <w:p>
      <w:pPr>
        <w:pStyle w:val="ListBullet"/>
        <w:spacing w:after="80"/>
      </w:pPr>
      <w:r>
        <w:rPr>
          <w:sz w:val="22"/>
        </w:rPr>
      </w:r>
      <w:r>
        <w:rPr>
          <w:b/>
          <w:sz w:val="22"/>
        </w:rPr>
        <w:t>T_m(bulk)</w:t>
      </w:r>
      <w:r>
        <w:rPr>
          <w:sz w:val="22"/>
        </w:rPr>
        <w:t xml:space="preserve"> = 1084 degrees C = 1357 K for copper</w:t>
      </w:r>
    </w:p>
    <w:p>
      <w:pPr>
        <w:pStyle w:val="ListBullet"/>
        <w:spacing w:after="80"/>
      </w:pPr>
      <w:r>
        <w:rPr>
          <w:sz w:val="22"/>
        </w:rPr>
      </w:r>
      <w:r>
        <w:rPr>
          <w:b/>
          <w:sz w:val="22"/>
        </w:rPr>
        <w:t>gamma</w:t>
      </w:r>
      <w:r>
        <w:rPr>
          <w:sz w:val="22"/>
        </w:rPr>
        <w:t xml:space="preserve"> = surface energy of Cu  approx.  1.79 J/m^2</w:t>
      </w:r>
    </w:p>
    <w:p>
      <w:pPr>
        <w:pStyle w:val="ListBullet"/>
        <w:spacing w:after="80"/>
      </w:pPr>
      <w:r>
        <w:rPr>
          <w:sz w:val="22"/>
        </w:rPr>
      </w:r>
      <w:r>
        <w:rPr>
          <w:b/>
          <w:sz w:val="22"/>
        </w:rPr>
        <w:t>V_m</w:t>
      </w:r>
      <w:r>
        <w:rPr>
          <w:sz w:val="22"/>
        </w:rPr>
        <w:t xml:space="preserve"> = molar volume of Cu = 7.09x10^-6 m^3/mol</w:t>
      </w:r>
    </w:p>
    <w:p>
      <w:pPr>
        <w:pStyle w:val="ListBullet"/>
        <w:spacing w:after="80"/>
      </w:pPr>
      <w:r>
        <w:rPr>
          <w:sz w:val="22"/>
        </w:rPr>
      </w:r>
      <w:r>
        <w:rPr>
          <w:b/>
          <w:sz w:val="22"/>
        </w:rPr>
        <w:t>Delta H_f</w:t>
      </w:r>
      <w:r>
        <w:rPr>
          <w:sz w:val="22"/>
        </w:rPr>
        <w:t xml:space="preserve"> = latent heat of fusion of Cu = 13.05 kJ/mol</w:t>
      </w:r>
    </w:p>
    <w:p>
      <w:pPr>
        <w:pStyle w:val="ListBullet"/>
        <w:spacing w:after="80"/>
      </w:pPr>
      <w:r>
        <w:rPr>
          <w:sz w:val="22"/>
        </w:rPr>
      </w:r>
      <w:r>
        <w:rPr>
          <w:b/>
          <w:sz w:val="22"/>
        </w:rPr>
        <w:t>rho_l</w:t>
      </w:r>
      <w:r>
        <w:rPr>
          <w:sz w:val="22"/>
        </w:rPr>
        <w:t xml:space="preserve"> = density of liquid Cu approx. 8000 kg/m^3</w:t>
      </w:r>
    </w:p>
    <w:p>
      <w:pPr>
        <w:pStyle w:val="ListBullet"/>
        <w:spacing w:after="80"/>
      </w:pPr>
      <w:r>
        <w:rPr>
          <w:sz w:val="22"/>
        </w:rPr>
      </w:r>
      <w:r>
        <w:rPr>
          <w:b/>
          <w:sz w:val="22"/>
        </w:rPr>
        <w:t>d</w:t>
      </w:r>
      <w:r>
        <w:rPr>
          <w:sz w:val="22"/>
        </w:rPr>
        <w:t xml:space="preserve"> = nanowire diameter (approx. 100 nm from SEM, Figure 5)</w:t>
      </w:r>
    </w:p>
    <w:p>
      <w:pPr>
        <w:spacing w:before="0" w:after="200"/>
        <w:jc w:val="left"/>
      </w:pPr>
      <w:r>
        <w:rPr>
          <w:b w:val="0"/>
          <w:i w:val="0"/>
          <w:sz w:val="22"/>
        </w:rPr>
        <w:t>For d = 100 nm, this formula predicts a melting point depression of only approx. 4-8 degrees C from bulk. This numerically confirms that the observed fragmentation at 450 degrees C is a solid-state Rayleigh instability process -- not melting -- which is the correct conclusion already drawn in the manuscript. Adding this estimate strengthens the argument considerably.</w:t>
      </w:r>
    </w:p>
    <w:p>
      <w:pPr>
        <w:spacing w:before="240" w:after="80"/>
      </w:pPr>
      <w:r>
        <w:rPr>
          <w:b/>
          <w:color w:val="1F497D"/>
          <w:sz w:val="24"/>
        </w:rPr>
        <w:t>Comment 8 -- Spot-to-Spot Reproducibility: RSD Must Be Calculated</w:t>
      </w:r>
    </w:p>
    <w:p>
      <w:pPr>
        <w:spacing w:before="0" w:after="120"/>
        <w:jc w:val="left"/>
      </w:pPr>
      <w:r>
        <w:rPr>
          <w:b w:val="0"/>
          <w:i w:val="0"/>
          <w:sz w:val="22"/>
        </w:rPr>
        <w:t>Figure 13 provides SERS mapping data from multiple positions, which is commendable. However, the manuscript only states qualitatively that variation was 'small.' The quantitative criterion required by the field is the Relative Standard Deviation (RSD):</w:t>
      </w:r>
    </w:p>
    <w:p>
      <w:pPr>
        <w:spacing w:before="0" w:after="40"/>
        <w:jc w:val="left"/>
      </w:pPr>
      <w:r>
        <w:rPr>
          <w:b/>
          <w:i w:val="0"/>
          <w:sz w:val="22"/>
        </w:rPr>
        <w:t>Equation 9 -- Relative Standard Deviation:</w:t>
      </w:r>
    </w:p>
    <w:p>
      <w:pPr>
        <w:spacing w:before="160" w:after="160"/>
        <w:jc w:val="center"/>
      </w:pPr>
      <m:oMathPara>
        <m:oMath>
          <m:r>
            <m:t xml:space="preserve">RSD (%)</m:t>
          </m:r>
          <m:r>
            <m:t xml:space="preserve">  =  </m:t>
          </m:r>
          <m:f>
            <m:fPr/>
            <m:num>
              <m:r>
                <m:t xml:space="preserve">sigma</m:t>
              </m:r>
            </m:num>
            <m:den>
              <m:r>
                <m:t xml:space="preserve">mu</m:t>
              </m:r>
            </m:den>
          </m:f>
          <m:r>
            <m:t xml:space="preserve">  x  100</m:t>
          </m:r>
        </m:oMath>
      </m:oMathPara>
    </w:p>
    <w:p>
      <w:pPr>
        <w:spacing w:before="0" w:after="200"/>
        <w:jc w:val="left"/>
      </w:pPr>
      <w:r>
        <w:rPr>
          <w:b w:val="0"/>
          <w:i w:val="0"/>
          <w:sz w:val="22"/>
        </w:rPr>
        <w:t>where sigma = standard deviation and mu = mean SERS intensity across all mapping positions. The accepted benchmark for a reproducible SERS substrate is RSD &lt; 15-20% (Ding et al., Nature Reviews Materials 1, 16021, 2016). The number of mapping positions used must also be stated (minimum 20-30 points is expected).</w:t>
      </w:r>
    </w:p>
    <w:p>
      <w:pPr>
        <w:spacing w:before="240" w:after="80"/>
      </w:pPr>
      <w:r>
        <w:rPr>
          <w:b/>
          <w:color w:val="1F497D"/>
          <w:sz w:val="24"/>
        </w:rPr>
        <w:t>Comment 9 -- CVD Temperature Range Incomplete; Optimum at Boundary</w:t>
      </w:r>
    </w:p>
    <w:p>
      <w:pPr>
        <w:spacing w:before="0" w:after="200"/>
        <w:jc w:val="left"/>
      </w:pPr>
      <w:r>
        <w:rPr>
          <w:b w:val="0"/>
          <w:i w:val="0"/>
          <w:sz w:val="22"/>
        </w:rPr>
        <w:t>CVD was studied at only three temperatures: 400, 450, and 500 degrees C. The best result is at 400 degrees C -- the lowest value tested. This raises the question of whether even lower temperatures (e.g., 350, 375 degrees C) might preserve nanowire morphology better while still depositing a carbon protective layer. The parameter space must be explored more thoroughly to confirm that 400 degrees C is a true optimum.</w:t>
      </w:r>
    </w:p>
    <w:p>
      <w:pPr>
        <w:spacing w:before="240" w:after="80"/>
      </w:pPr>
      <w:r>
        <w:rPr>
          <w:b/>
          <w:color w:val="1F497D"/>
          <w:sz w:val="24"/>
        </w:rPr>
        <w:t>Comment 10 -- Carbon (Graphene) Deposition Not Confirmed by EDS or XPS</w:t>
      </w:r>
    </w:p>
    <w:p>
      <w:pPr>
        <w:spacing w:before="0" w:after="200"/>
        <w:jc w:val="left"/>
      </w:pPr>
      <w:r>
        <w:rPr>
          <w:b w:val="0"/>
          <w:i w:val="0"/>
          <w:sz w:val="22"/>
        </w:rPr>
        <w:t>Figure 6b shows the EDS spectrum after CVD but does not clearly identify or quantify a carbon (C) peak. The C Kalpha peak at approx. 0.277 keV must be labelled and the carbon atomic percentage reported. Since EDS has limited sensitivity for light elements, XPS of the C 1s peak (binding energy approx. 284.6 eV for sp2 graphitic carbon) is strongly recommended as confirmatory evidence that the deposited layer is graphene and not amorphous carbon.</w:t>
      </w:r>
    </w:p>
    <w:p>
      <w:pPr>
        <w:spacing w:before="240" w:after="80"/>
      </w:pPr>
      <w:r>
        <w:rPr>
          <w:b/>
          <w:color w:val="1F497D"/>
          <w:sz w:val="28"/>
        </w:rPr>
        <w:t>3.  MINOR COMMENTS</w:t>
      </w:r>
    </w:p>
    <w:p>
      <w:pPr>
        <w:pBdr>
          <w:bottom w:val="single" w:sz="6" w:space="1" w:color="4472C4"/>
        </w:pBdr>
        <w:spacing w:after="80"/>
      </w:pPr>
    </w:p>
    <w:p>
      <w:pPr>
        <w:spacing w:after="100"/>
      </w:pPr>
      <w:r>
        <w:rPr>
          <w:b/>
          <w:color w:val="1F497D"/>
          <w:sz w:val="22"/>
        </w:rPr>
        <w:t xml:space="preserve">Figure 8 caption: </w:t>
      </w:r>
      <w:r>
        <w:rPr>
          <w:sz w:val="22"/>
        </w:rPr>
        <w:t>Reads 'man spectra' -- should be 'Raman spectra.' Typographical error.</w:t>
      </w:r>
    </w:p>
    <w:p>
      <w:pPr>
        <w:spacing w:after="100"/>
      </w:pPr>
      <w:r>
        <w:rPr>
          <w:b/>
          <w:color w:val="1F497D"/>
          <w:sz w:val="22"/>
        </w:rPr>
        <w:t xml:space="preserve">Figure 12 caption: </w:t>
      </w:r>
      <w:r>
        <w:rPr>
          <w:sz w:val="22"/>
        </w:rPr>
        <w:t>Reads 'ration curve' -- should be 'calibration curve.' Typographical error.</w:t>
      </w:r>
    </w:p>
    <w:p>
      <w:pPr>
        <w:spacing w:after="100"/>
      </w:pPr>
      <w:r>
        <w:rPr>
          <w:b/>
          <w:color w:val="1F497D"/>
          <w:sz w:val="22"/>
        </w:rPr>
        <w:t xml:space="preserve">Figure 13c: </w:t>
      </w:r>
      <w:r>
        <w:rPr>
          <w:sz w:val="22"/>
        </w:rPr>
        <w:t>Text states signal decrease &lt; 6.1% across all peaks; the 1622 cm-1 band shows approx. 5% decrease. Clarify that 6.1% is the maximum across all peaks.</w:t>
      </w:r>
    </w:p>
    <w:p>
      <w:pPr>
        <w:spacing w:after="100"/>
      </w:pPr>
      <w:r>
        <w:rPr>
          <w:b/>
          <w:color w:val="1F497D"/>
          <w:sz w:val="22"/>
        </w:rPr>
        <w:t xml:space="preserve">Table 1: </w:t>
      </w:r>
      <w:r>
        <w:rPr>
          <w:sz w:val="22"/>
        </w:rPr>
        <w:t>EF for Cu/GrO composites and core-shell graphene@Cu NPs listed as 'NA.' Replace with 'Not reported' for clarity.</w:t>
      </w:r>
    </w:p>
    <w:p>
      <w:pPr>
        <w:spacing w:after="100"/>
      </w:pPr>
      <w:r>
        <w:rPr>
          <w:b/>
          <w:color w:val="1F497D"/>
          <w:sz w:val="22"/>
        </w:rPr>
        <w:t xml:space="preserve">Reference 28: </w:t>
      </w:r>
      <w:r>
        <w:rPr>
          <w:sz w:val="22"/>
        </w:rPr>
        <w:t>Author names are missing from the reference entry. Please complete the citation.</w:t>
      </w:r>
    </w:p>
    <w:p>
      <w:pPr>
        <w:spacing w:after="100"/>
      </w:pPr>
      <w:r>
        <w:rPr>
          <w:b/>
          <w:color w:val="1F497D"/>
          <w:sz w:val="22"/>
        </w:rPr>
        <w:t xml:space="preserve">Section 2: </w:t>
      </w:r>
      <w:r>
        <w:rPr>
          <w:sz w:val="22"/>
        </w:rPr>
        <w:t>Ar/H2 flux ratio (300/30 sccm) is stated but total reactor pressure and tube geometry are absent. These are required for reproducibility.</w:t>
      </w:r>
    </w:p>
    <w:p>
      <w:pPr>
        <w:spacing w:after="100"/>
      </w:pPr>
      <w:r>
        <w:rPr>
          <w:b/>
          <w:color w:val="1F497D"/>
          <w:sz w:val="22"/>
        </w:rPr>
        <w:t xml:space="preserve">Abstract: </w:t>
      </w:r>
      <w:r>
        <w:rPr>
          <w:sz w:val="22"/>
        </w:rPr>
        <w:t>EF type is not specified. Add '(AEF)' after the value 6.1x10^6.</w:t>
      </w:r>
    </w:p>
    <w:p>
      <w:pPr>
        <w:spacing w:before="240" w:after="80"/>
      </w:pPr>
      <w:r>
        <w:rPr>
          <w:b/>
          <w:color w:val="1F497D"/>
          <w:sz w:val="28"/>
        </w:rPr>
        <w:t>4.  SUMMARY OF REQUIRED REVISIONS</w:t>
      </w:r>
    </w:p>
    <w:p>
      <w:pPr>
        <w:pBdr>
          <w:bottom w:val="single" w:sz="6" w:space="1" w:color="4472C4"/>
        </w:pBdr>
        <w:spacing w:after="80"/>
      </w:pPr>
    </w:p>
    <w:tbl>
      <w:tblPr>
        <w:tblStyle w:val="TableGrid"/>
        <w:tblW w:type="auto" w:w="0"/>
        <w:tblLook w:firstColumn="1" w:firstRow="1" w:lastColumn="0" w:lastRow="0" w:noHBand="0" w:noVBand="1" w:val="04A0"/>
      </w:tblPr>
      <w:tblGrid>
        <w:gridCol w:w="3041"/>
        <w:gridCol w:w="3041"/>
        <w:gridCol w:w="3041"/>
      </w:tblGrid>
      <w:tr>
        <w:tc>
          <w:tcPr>
            <w:tcW w:type="dxa" w:w="680"/>
            <w:shd w:val="clear" w:color="auto" w:fill="4472C4"/>
          </w:tcPr>
          <w:p>
            <w:r>
              <w:rPr>
                <w:b/>
                <w:color w:val="FFFFFF"/>
                <w:sz w:val="20"/>
              </w:rPr>
              <w:t>No.</w:t>
            </w:r>
          </w:p>
        </w:tc>
        <w:tc>
          <w:tcPr>
            <w:tcW w:type="dxa" w:w="6236"/>
            <w:shd w:val="clear" w:color="auto" w:fill="4472C4"/>
          </w:tcPr>
          <w:p>
            <w:r>
              <w:rPr>
                <w:b/>
                <w:color w:val="FFFFFF"/>
                <w:sz w:val="20"/>
              </w:rPr>
              <w:t>Issue</w:t>
            </w:r>
          </w:p>
        </w:tc>
        <w:tc>
          <w:tcPr>
            <w:tcW w:type="dxa" w:w="1417"/>
            <w:shd w:val="clear" w:color="auto" w:fill="4472C4"/>
          </w:tcPr>
          <w:p>
            <w:r>
              <w:rPr>
                <w:b/>
                <w:color w:val="FFFFFF"/>
                <w:sz w:val="20"/>
              </w:rPr>
              <w:t>Priority</w:t>
            </w:r>
          </w:p>
        </w:tc>
      </w:tr>
      <w:tr>
        <w:tc>
          <w:tcPr>
            <w:tcW w:type="dxa" w:w="3041"/>
            <w:shd w:val="clear" w:color="auto" w:fill="FFB3BA"/>
          </w:tcPr>
          <w:p>
            <w:r>
              <w:rPr>
                <w:sz w:val="20"/>
              </w:rPr>
              <w:t>1</w:t>
            </w:r>
          </w:p>
        </w:tc>
        <w:tc>
          <w:tcPr>
            <w:tcW w:type="dxa" w:w="3041"/>
            <w:shd w:val="clear" w:color="auto" w:fill="FFB3BA"/>
          </w:tcPr>
          <w:p>
            <w:r>
              <w:rPr>
                <w:sz w:val="20"/>
              </w:rPr>
              <w:t>EF formula incomplete -- I_SERS, I_RS, peak choice, and EF type not shown</w:t>
            </w:r>
          </w:p>
        </w:tc>
        <w:tc>
          <w:tcPr>
            <w:tcW w:type="dxa" w:w="3041"/>
            <w:shd w:val="clear" w:color="auto" w:fill="FFB3BA"/>
          </w:tcPr>
          <w:p>
            <w:r>
              <w:rPr>
                <w:b/>
                <w:sz w:val="20"/>
              </w:rPr>
              <w:t>CRITICAL</w:t>
            </w:r>
          </w:p>
        </w:tc>
      </w:tr>
      <w:tr>
        <w:tc>
          <w:tcPr>
            <w:tcW w:type="dxa" w:w="3041"/>
            <w:shd w:val="clear" w:color="auto" w:fill="FFDFBA"/>
          </w:tcPr>
          <w:p>
            <w:r>
              <w:rPr>
                <w:sz w:val="20"/>
              </w:rPr>
              <w:t>2</w:t>
            </w:r>
          </w:p>
        </w:tc>
        <w:tc>
          <w:tcPr>
            <w:tcW w:type="dxa" w:w="3041"/>
            <w:shd w:val="clear" w:color="auto" w:fill="FFDFBA"/>
          </w:tcPr>
          <w:p>
            <w:r>
              <w:rPr>
                <w:sz w:val="20"/>
              </w:rPr>
              <w:t>FDTD sphere model inconsistent with nanowire substrate; |E|^2 used instead of |E|^4</w:t>
            </w:r>
          </w:p>
        </w:tc>
        <w:tc>
          <w:tcPr>
            <w:tcW w:type="dxa" w:w="3041"/>
            <w:shd w:val="clear" w:color="auto" w:fill="FFDFBA"/>
          </w:tcPr>
          <w:p>
            <w:r>
              <w:rPr>
                <w:b/>
                <w:sz w:val="20"/>
              </w:rPr>
              <w:t>MAJOR</w:t>
            </w:r>
          </w:p>
        </w:tc>
      </w:tr>
      <w:tr>
        <w:tc>
          <w:tcPr>
            <w:tcW w:type="dxa" w:w="3041"/>
            <w:shd w:val="clear" w:color="auto" w:fill="FFDFBA"/>
          </w:tcPr>
          <w:p>
            <w:r>
              <w:rPr>
                <w:sz w:val="20"/>
              </w:rPr>
              <w:t>3</w:t>
            </w:r>
          </w:p>
        </w:tc>
        <w:tc>
          <w:tcPr>
            <w:tcW w:type="dxa" w:w="3041"/>
            <w:shd w:val="clear" w:color="auto" w:fill="FFDFBA"/>
          </w:tcPr>
          <w:p>
            <w:r>
              <w:rPr>
                <w:sz w:val="20"/>
              </w:rPr>
              <w:t>Graphene D/G ratio not quantified; sp2 domain size not calculated</w:t>
            </w:r>
          </w:p>
        </w:tc>
        <w:tc>
          <w:tcPr>
            <w:tcW w:type="dxa" w:w="3041"/>
            <w:shd w:val="clear" w:color="auto" w:fill="FFDFBA"/>
          </w:tcPr>
          <w:p>
            <w:r>
              <w:rPr>
                <w:b/>
                <w:sz w:val="20"/>
              </w:rPr>
              <w:t>MAJOR</w:t>
            </w:r>
          </w:p>
        </w:tc>
      </w:tr>
      <w:tr>
        <w:tc>
          <w:tcPr>
            <w:tcW w:type="dxa" w:w="3041"/>
            <w:shd w:val="clear" w:color="auto" w:fill="FFDFBA"/>
          </w:tcPr>
          <w:p>
            <w:r>
              <w:rPr>
                <w:sz w:val="20"/>
              </w:rPr>
              <w:t>4</w:t>
            </w:r>
          </w:p>
        </w:tc>
        <w:tc>
          <w:tcPr>
            <w:tcW w:type="dxa" w:w="3041"/>
            <w:shd w:val="clear" w:color="auto" w:fill="FFDFBA"/>
          </w:tcPr>
          <w:p>
            <w:r>
              <w:rPr>
                <w:sz w:val="20"/>
              </w:rPr>
              <w:t>No XPS or control experiment to confirm oxidation protection by graphene</w:t>
            </w:r>
          </w:p>
        </w:tc>
        <w:tc>
          <w:tcPr>
            <w:tcW w:type="dxa" w:w="3041"/>
            <w:shd w:val="clear" w:color="auto" w:fill="FFDFBA"/>
          </w:tcPr>
          <w:p>
            <w:r>
              <w:rPr>
                <w:b/>
                <w:sz w:val="20"/>
              </w:rPr>
              <w:t>MAJOR</w:t>
            </w:r>
          </w:p>
        </w:tc>
      </w:tr>
      <w:tr>
        <w:tc>
          <w:tcPr>
            <w:tcW w:type="dxa" w:w="3041"/>
            <w:shd w:val="clear" w:color="auto" w:fill="FFDFBA"/>
          </w:tcPr>
          <w:p>
            <w:r>
              <w:rPr>
                <w:sz w:val="20"/>
              </w:rPr>
              <w:t>5</w:t>
            </w:r>
          </w:p>
        </w:tc>
        <w:tc>
          <w:tcPr>
            <w:tcW w:type="dxa" w:w="3041"/>
            <w:shd w:val="clear" w:color="auto" w:fill="FFDFBA"/>
          </w:tcPr>
          <w:p>
            <w:r>
              <w:rPr>
                <w:sz w:val="20"/>
              </w:rPr>
              <w:t>LOD formula (3sigma/S) and values of sigma and S not shown</w:t>
            </w:r>
          </w:p>
        </w:tc>
        <w:tc>
          <w:tcPr>
            <w:tcW w:type="dxa" w:w="3041"/>
            <w:shd w:val="clear" w:color="auto" w:fill="FFDFBA"/>
          </w:tcPr>
          <w:p>
            <w:r>
              <w:rPr>
                <w:b/>
                <w:sz w:val="20"/>
              </w:rPr>
              <w:t>MAJOR</w:t>
            </w:r>
          </w:p>
        </w:tc>
      </w:tr>
      <w:tr>
        <w:tc>
          <w:tcPr>
            <w:tcW w:type="dxa" w:w="3041"/>
            <w:shd w:val="clear" w:color="auto" w:fill="FFFFBA"/>
          </w:tcPr>
          <w:p>
            <w:r>
              <w:rPr>
                <w:sz w:val="20"/>
              </w:rPr>
              <w:t>6</w:t>
            </w:r>
          </w:p>
        </w:tc>
        <w:tc>
          <w:tcPr>
            <w:tcW w:type="dxa" w:w="3041"/>
            <w:shd w:val="clear" w:color="auto" w:fill="FFFFBA"/>
          </w:tcPr>
          <w:p>
            <w:r>
              <w:rPr>
                <w:sz w:val="20"/>
              </w:rPr>
              <w:t>Only MB tested; environmental monitoring claim is not supported</w:t>
            </w:r>
          </w:p>
        </w:tc>
        <w:tc>
          <w:tcPr>
            <w:tcW w:type="dxa" w:w="3041"/>
            <w:shd w:val="clear" w:color="auto" w:fill="FFFFBA"/>
          </w:tcPr>
          <w:p>
            <w:r>
              <w:rPr>
                <w:b/>
                <w:sz w:val="20"/>
              </w:rPr>
              <w:t>MODERATE</w:t>
            </w:r>
          </w:p>
        </w:tc>
      </w:tr>
      <w:tr>
        <w:tc>
          <w:tcPr>
            <w:tcW w:type="dxa" w:w="3041"/>
            <w:shd w:val="clear" w:color="auto" w:fill="FFFFBA"/>
          </w:tcPr>
          <w:p>
            <w:r>
              <w:rPr>
                <w:sz w:val="20"/>
              </w:rPr>
              <w:t>7</w:t>
            </w:r>
          </w:p>
        </w:tc>
        <w:tc>
          <w:tcPr>
            <w:tcW w:type="dxa" w:w="3041"/>
            <w:shd w:val="clear" w:color="auto" w:fill="FFFFBA"/>
          </w:tcPr>
          <w:p>
            <w:r>
              <w:rPr>
                <w:sz w:val="20"/>
              </w:rPr>
              <w:t>Melting point depression not quantified; Pawlow formula not applied</w:t>
            </w:r>
          </w:p>
        </w:tc>
        <w:tc>
          <w:tcPr>
            <w:tcW w:type="dxa" w:w="3041"/>
            <w:shd w:val="clear" w:color="auto" w:fill="FFFFBA"/>
          </w:tcPr>
          <w:p>
            <w:r>
              <w:rPr>
                <w:b/>
                <w:sz w:val="20"/>
              </w:rPr>
              <w:t>MODERATE</w:t>
            </w:r>
          </w:p>
        </w:tc>
      </w:tr>
      <w:tr>
        <w:tc>
          <w:tcPr>
            <w:tcW w:type="dxa" w:w="3041"/>
            <w:shd w:val="clear" w:color="auto" w:fill="FFFFBA"/>
          </w:tcPr>
          <w:p>
            <w:r>
              <w:rPr>
                <w:sz w:val="20"/>
              </w:rPr>
              <w:t>8</w:t>
            </w:r>
          </w:p>
        </w:tc>
        <w:tc>
          <w:tcPr>
            <w:tcW w:type="dxa" w:w="3041"/>
            <w:shd w:val="clear" w:color="auto" w:fill="FFFFBA"/>
          </w:tcPr>
          <w:p>
            <w:r>
              <w:rPr>
                <w:sz w:val="20"/>
              </w:rPr>
              <w:t>RSD of SERS mapping positions not calculated or reported</w:t>
            </w:r>
          </w:p>
        </w:tc>
        <w:tc>
          <w:tcPr>
            <w:tcW w:type="dxa" w:w="3041"/>
            <w:shd w:val="clear" w:color="auto" w:fill="FFFFBA"/>
          </w:tcPr>
          <w:p>
            <w:r>
              <w:rPr>
                <w:b/>
                <w:sz w:val="20"/>
              </w:rPr>
              <w:t>MODERATE</w:t>
            </w:r>
          </w:p>
        </w:tc>
      </w:tr>
      <w:tr>
        <w:tc>
          <w:tcPr>
            <w:tcW w:type="dxa" w:w="3041"/>
            <w:shd w:val="clear" w:color="auto" w:fill="FFFFBA"/>
          </w:tcPr>
          <w:p>
            <w:r>
              <w:rPr>
                <w:sz w:val="20"/>
              </w:rPr>
              <w:t>9</w:t>
            </w:r>
          </w:p>
        </w:tc>
        <w:tc>
          <w:tcPr>
            <w:tcW w:type="dxa" w:w="3041"/>
            <w:shd w:val="clear" w:color="auto" w:fill="FFFFBA"/>
          </w:tcPr>
          <w:p>
            <w:r>
              <w:rPr>
                <w:sz w:val="20"/>
              </w:rPr>
              <w:t>CVD temperature range too narrow; lower temperatures not explored</w:t>
            </w:r>
          </w:p>
        </w:tc>
        <w:tc>
          <w:tcPr>
            <w:tcW w:type="dxa" w:w="3041"/>
            <w:shd w:val="clear" w:color="auto" w:fill="FFFFBA"/>
          </w:tcPr>
          <w:p>
            <w:r>
              <w:rPr>
                <w:b/>
                <w:sz w:val="20"/>
              </w:rPr>
              <w:t>MODERATE</w:t>
            </w:r>
          </w:p>
        </w:tc>
      </w:tr>
      <w:tr>
        <w:tc>
          <w:tcPr>
            <w:tcW w:type="dxa" w:w="3041"/>
            <w:shd w:val="clear" w:color="auto" w:fill="FFFFBA"/>
          </w:tcPr>
          <w:p>
            <w:r>
              <w:rPr>
                <w:sz w:val="20"/>
              </w:rPr>
              <w:t>10</w:t>
            </w:r>
          </w:p>
        </w:tc>
        <w:tc>
          <w:tcPr>
            <w:tcW w:type="dxa" w:w="3041"/>
            <w:shd w:val="clear" w:color="auto" w:fill="FFFFBA"/>
          </w:tcPr>
          <w:p>
            <w:r>
              <w:rPr>
                <w:sz w:val="20"/>
              </w:rPr>
              <w:t>Carbon EDS/XPS confirmation of graphene deposition absent in Figure 6b</w:t>
            </w:r>
          </w:p>
        </w:tc>
        <w:tc>
          <w:tcPr>
            <w:tcW w:type="dxa" w:w="3041"/>
            <w:shd w:val="clear" w:color="auto" w:fill="FFFFBA"/>
          </w:tcPr>
          <w:p>
            <w:r>
              <w:rPr>
                <w:b/>
                <w:sz w:val="20"/>
              </w:rPr>
              <w:t>MODERATE</w:t>
            </w:r>
          </w:p>
        </w:tc>
      </w:tr>
    </w:tbl>
    <w:p>
      <w:pPr>
        <w:spacing w:before="240" w:after="80"/>
      </w:pPr>
      <w:r>
        <w:rPr>
          <w:b/>
          <w:color w:val="1F497D"/>
          <w:sz w:val="28"/>
        </w:rPr>
        <w:t>5.  KEY REFERENCES CITED IN THIS REVIEW</w:t>
      </w:r>
    </w:p>
    <w:p>
      <w:pPr>
        <w:pBdr>
          <w:bottom w:val="single" w:sz="6" w:space="1" w:color="4472C4"/>
        </w:pBdr>
        <w:spacing w:after="80"/>
      </w:pPr>
    </w:p>
    <w:p>
      <w:pPr>
        <w:spacing w:after="80"/>
        <w:ind w:left="283"/>
      </w:pPr>
      <w:r>
        <w:rPr>
          <w:sz w:val="20"/>
        </w:rPr>
        <w:t>[R1] Le Ru, E.C. &amp; Etchegoin, P.G.  Principles of Surface-Enhanced Raman Spectroscopy and Related Plasmonic Effects. Elsevier, Amsterdam, 2009.  [AEF: Eq. 4.4, p. 187;  SEF: Eq. 4.6-4.9, pp. 188-190]</w:t>
      </w:r>
    </w:p>
    <w:p>
      <w:pPr>
        <w:spacing w:after="80"/>
        <w:ind w:left="283"/>
      </w:pPr>
      <w:r>
        <w:rPr>
          <w:sz w:val="20"/>
        </w:rPr>
        <w:t>[R2] Moskovits, M.  Surface-enhanced spectroscopy. Reviews of Modern Physics 57(3), 783-826 (1985).  [|E|^4 electromagnetic EF scaling]</w:t>
      </w:r>
    </w:p>
    <w:p>
      <w:pPr>
        <w:spacing w:after="80"/>
        <w:ind w:left="283"/>
      </w:pPr>
      <w:r>
        <w:rPr>
          <w:sz w:val="20"/>
        </w:rPr>
        <w:t>[R3] Ling, X. et al.  Charge-Transfer Mechanism in Graphene-Enhanced Raman Scattering. J. Phys. Chem. C 116, 25112-25118 (2012).  [Chemical enhancement via graphene -- Ref. 44 in manuscript]</w:t>
      </w:r>
    </w:p>
    <w:p>
      <w:pPr>
        <w:spacing w:after="80"/>
        <w:ind w:left="283"/>
      </w:pPr>
      <w:r>
        <w:rPr>
          <w:sz w:val="20"/>
        </w:rPr>
        <w:t>[R4] Tuinstra, F. &amp; Koenig, J.L.  Raman spectrum of graphite. J. Chem. Phys. 53, 1126 (1970).  [D/G ratio and domain size formula]</w:t>
      </w:r>
    </w:p>
    <w:p>
      <w:pPr>
        <w:spacing w:after="80"/>
        <w:ind w:left="283"/>
      </w:pPr>
      <w:r>
        <w:rPr>
          <w:sz w:val="20"/>
        </w:rPr>
        <w:t>[R5] Ding, S.-Y. et al.  Nanostructure-based plasmon-enhanced Raman spectroscopy for surface analysis of materials. Nature Reviews Materials 1, 16021 (2016).  [RSD &lt; 15-20% reproducibility benchmark]</w:t>
      </w:r>
    </w:p>
    <w:p>
      <w:pPr>
        <w:spacing w:after="80"/>
        <w:ind w:left="283"/>
      </w:pPr>
      <w:r>
        <w:rPr>
          <w:sz w:val="20"/>
        </w:rPr>
        <w:t>[R6] Pawlow, P.  Uber die Abhangigkeit des Schmelzpunktes von der Oberflachenenergie eines festen Korpers. Z. Phys. Chem. 65, 545 (1909).  [Melting point depression of nanostructures]</w:t>
      </w:r>
    </w:p>
    <w:p>
      <w:pPr>
        <w:pBdr>
          <w:bottom w:val="single" w:sz="6" w:space="1" w:color="4472C4"/>
        </w:pBdr>
        <w:spacing w:after="80"/>
      </w:pPr>
    </w:p>
    <w:p>
      <w:pPr>
        <w:jc w:val="center"/>
      </w:pPr>
      <w:r>
        <w:rPr>
          <w:i/>
          <w:color w:val="808080"/>
          <w:sz w:val="18"/>
        </w:rPr>
        <w:t>Review prepared for manuscript MATCHEMPHYSD2604411  |  Materials Chemistry and Physics (Elsevier)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