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97D"/>
          <w:sz w:val="32"/>
        </w:rPr>
        <w:t>PEER REVIEW REPORT</w:t>
      </w:r>
    </w:p>
    <w:p>
      <w:pPr>
        <w:spacing w:after="40"/>
        <w:jc w:val="center"/>
      </w:pPr>
      <w:r>
        <w:rPr>
          <w:i/>
          <w:color w:val="4472C4"/>
          <w:sz w:val="24"/>
        </w:rPr>
        <w:t>Materials Chemistry and Physics</w:t>
      </w:r>
    </w:p>
    <w:p>
      <w:pPr>
        <w:spacing w:after="160"/>
        <w:jc w:val="center"/>
      </w:pPr>
      <w:r>
        <w:rPr>
          <w:sz w:val="22"/>
        </w:rPr>
        <w:t>Manuscript No. MATCHEMPHYSD2604411</w:t>
      </w:r>
    </w:p>
    <w:p>
      <w:pPr>
        <w:pBdr>
          <w:bottom w:val="single" w:sz="6" w:space="1" w:color="4472C4"/>
        </w:pBdr>
        <w:spacing w:after="80"/>
      </w:pPr>
    </w:p>
    <w:tbl>
      <w:tblPr>
        <w:tblStyle w:val="TableGrid"/>
        <w:tblW w:type="auto" w:w="0"/>
        <w:tblLook w:firstColumn="1" w:firstRow="1" w:lastColumn="0" w:lastRow="0" w:noHBand="0" w:noVBand="1" w:val="04A0"/>
      </w:tblPr>
      <w:tblGrid>
        <w:gridCol w:w="4561"/>
        <w:gridCol w:w="4561"/>
      </w:tblGrid>
      <w:tr>
        <w:tc>
          <w:tcPr>
            <w:tcW w:type="dxa" w:w="1984"/>
          </w:tcPr>
          <w:p>
            <w:r>
              <w:rPr>
                <w:b/>
                <w:sz w:val="20"/>
              </w:rPr>
              <w:t>Title</w:t>
            </w:r>
          </w:p>
        </w:tc>
        <w:tc>
          <w:tcPr>
            <w:tcW w:type="dxa" w:w="4561"/>
          </w:tcPr>
          <w:p>
            <w:r>
              <w:rPr>
                <w:sz w:val="20"/>
              </w:rPr>
              <w:t>Efficient Surface Enhanced Raman Scattering on Graphene Coated Cu Nanowires Prepared by Low Temperature Chemical Vapor Deposition</w:t>
            </w:r>
          </w:p>
        </w:tc>
      </w:tr>
      <w:tr>
        <w:tc>
          <w:tcPr>
            <w:tcW w:type="dxa" w:w="1984"/>
          </w:tcPr>
          <w:p>
            <w:r>
              <w:rPr>
                <w:b/>
                <w:sz w:val="20"/>
              </w:rPr>
              <w:t>Authors</w:t>
            </w:r>
          </w:p>
        </w:tc>
        <w:tc>
          <w:tcPr>
            <w:tcW w:type="dxa" w:w="4561"/>
          </w:tcPr>
          <w:p>
            <w:r>
              <w:rPr>
                <w:sz w:val="20"/>
              </w:rPr>
              <w:t>Van Tan Tran, An Bang Ngac, Nguyen Hai Pham, Viet Tuyen Nguyen, Van Chuc Nguyen, Trong Tam Nguyen, Bui Nguyen Quoc Trinh, The Nam Dinh, Thi Ha Tran*</w:t>
            </w:r>
          </w:p>
        </w:tc>
      </w:tr>
      <w:tr>
        <w:tc>
          <w:tcPr>
            <w:tcW w:type="dxa" w:w="1984"/>
          </w:tcPr>
          <w:p>
            <w:r>
              <w:rPr>
                <w:b/>
                <w:sz w:val="20"/>
              </w:rPr>
              <w:t>Affiliation</w:t>
            </w:r>
          </w:p>
        </w:tc>
        <w:tc>
          <w:tcPr>
            <w:tcW w:type="dxa" w:w="4561"/>
          </w:tcPr>
          <w:p>
            <w:r>
              <w:rPr>
                <w:sz w:val="20"/>
              </w:rPr>
              <w:t>Vietnam National University, Hanoi; Vietnam Academy of Science and Technology; Vietnam Maritime University; Vietnam Japan University; Hanoi University of Mining and Geology</w:t>
            </w:r>
          </w:p>
        </w:tc>
      </w:tr>
      <w:tr>
        <w:tc>
          <w:tcPr>
            <w:tcW w:type="dxa" w:w="1984"/>
          </w:tcPr>
          <w:p>
            <w:r>
              <w:rPr>
                <w:b/>
                <w:sz w:val="20"/>
              </w:rPr>
              <w:t>Review Date</w:t>
            </w:r>
          </w:p>
        </w:tc>
        <w:tc>
          <w:tcPr>
            <w:tcW w:type="dxa" w:w="4561"/>
          </w:tcPr>
          <w:p>
            <w:r>
              <w:rPr>
                <w:sz w:val="20"/>
              </w:rPr>
              <w:t>20 June 2026</w:t>
            </w:r>
          </w:p>
        </w:tc>
      </w:tr>
    </w:tbl>
    <w:p/>
    <w:p>
      <w:pPr>
        <w:spacing w:before="240" w:after="80"/>
      </w:pPr>
      <w:r>
        <w:rPr>
          <w:b/>
          <w:color w:val="1F497D"/>
          <w:sz w:val="28"/>
        </w:rPr>
        <w:t>1.  OVERALL ASSESSMENT</w:t>
      </w:r>
    </w:p>
    <w:p>
      <w:pPr>
        <w:pBdr>
          <w:bottom w:val="single" w:sz="6" w:space="1" w:color="4472C4"/>
        </w:pBdr>
        <w:spacing w:after="80"/>
      </w:pPr>
    </w:p>
    <w:p>
      <w:pPr>
        <w:spacing w:before="0" w:after="120"/>
        <w:jc w:val="left"/>
      </w:pPr>
      <w:r>
        <w:rPr>
          <w:b w:val="0"/>
          <w:i w:val="0"/>
          <w:sz w:val="22"/>
        </w:rPr>
        <w:t>This manuscript describes the fabrication of copper/graphene (Cu/G) nanowire substrates for Surface-Enhanced Raman Scattering (SERS). CuO nanowires are first grown by thermal oxidation of copper foil, then reduced to metallic Cu by H₂ gas, and finally coated with a graphene layer via low-temperature chemical vapor deposition (CVD) using ethanol as a carbon precursor. The best-performing substrate (400°C CVD temperature) achieves a claimed Detection Limit (LOD) of 5.69×10⁻¹¹ M and an Enhancement Factor (EF) of 6.1×10⁶ for methylene blue (MB), with signal stability exceeding 90 days.</w:t>
      </w:r>
    </w:p>
    <w:p>
      <w:pPr>
        <w:spacing w:before="0" w:after="160"/>
        <w:jc w:val="left"/>
      </w:pPr>
      <w:r>
        <w:rPr>
          <w:b w:val="0"/>
          <w:i w:val="0"/>
          <w:sz w:val="22"/>
        </w:rPr>
        <w:t>The topic is timely and the fabrication approach is creative. However, the manuscript contains significant scientific gaps — particularly in the calculation and reporting of the Enhancement Factor, the physical validity of the FDTD model, the characterisation of graphene quality, and the mechanistic evidence for oxidation protection. These must be corrected before the paper can be accepted.</w:t>
      </w:r>
    </w:p>
    <w:p>
      <w:pPr>
        <w:spacing w:after="240"/>
        <w:ind w:left="567"/>
        <w:shd w:val="clear" w:color="auto" w:fill="DCE6F1"/>
      </w:pPr>
      <w:r>
        <w:rPr>
          <w:b/>
          <w:color w:val="1F497D"/>
          <w:sz w:val="24"/>
        </w:rPr>
        <w:t>→  RECOMMENDATION:  Major Revision Required</w:t>
      </w:r>
    </w:p>
    <w:p>
      <w:pPr>
        <w:spacing w:before="240" w:after="80"/>
      </w:pPr>
      <w:r>
        <w:rPr>
          <w:b/>
          <w:color w:val="1F497D"/>
          <w:sz w:val="28"/>
        </w:rPr>
        <w:t>2.  DETAILED SCIENTIFIC COMMENTS</w:t>
      </w:r>
    </w:p>
    <w:p>
      <w:pPr>
        <w:pBdr>
          <w:bottom w:val="single" w:sz="6" w:space="1" w:color="4472C4"/>
        </w:pBdr>
        <w:spacing w:after="80"/>
      </w:pPr>
    </w:p>
    <w:p>
      <w:pPr>
        <w:spacing w:before="240" w:after="80"/>
      </w:pPr>
      <w:r>
        <w:rPr>
          <w:b/>
          <w:color w:val="1F497D"/>
          <w:sz w:val="24"/>
        </w:rPr>
        <w:t>Comment 1 — Enhancement Factor: Incorrect or Incomplete Calculation  [CRITICAL]</w:t>
      </w:r>
    </w:p>
    <w:p>
      <w:pPr>
        <w:spacing w:before="0" w:after="40"/>
        <w:jc w:val="left"/>
      </w:pPr>
      <w:r>
        <w:rPr>
          <w:b w:val="0"/>
          <w:i w:val="0"/>
          <w:sz w:val="22"/>
        </w:rPr>
        <w:t>The authors state (Section 3, p. 10):</w:t>
      </w:r>
    </w:p>
    <w:p>
      <w:pPr>
        <w:spacing w:after="120"/>
        <w:ind w:left="680"/>
        <w:shd w:val="clear" w:color="auto" w:fill="F2F2F2"/>
      </w:pPr>
      <w:r>
        <w:rPr>
          <w:i/>
          <w:sz w:val="20"/>
        </w:rPr>
        <w:t>“The enhancement factor (EF) was estimated to be 6.1×10⁶ based on a comparison of the Raman signal intensity of MB at an ultralow concentration of 10⁻¹° M on a SERS substrate with the Raman signal intensity of MB at a concentration of 10⁻⁴ M on a conventional silicon substrate used as a reference.”</w:t>
      </w:r>
    </w:p>
    <w:p>
      <w:pPr>
        <w:spacing w:before="0" w:after="80"/>
        <w:jc w:val="left"/>
      </w:pPr>
      <w:r>
        <w:rPr>
          <w:b w:val="0"/>
          <w:i w:val="0"/>
          <w:sz w:val="22"/>
        </w:rPr>
        <w:t>This approach corresponds to the Analytical Enhancement Factor (AEF), defined by the authoritative reference in the field as:</w:t>
      </w:r>
    </w:p>
    <w:p>
      <w:pPr>
        <w:spacing w:after="80"/>
        <w:ind w:left="680"/>
      </w:pPr>
      <w:r>
        <w:rPr>
          <w:b/>
          <w:color w:val="1F497D"/>
          <w:sz w:val="24"/>
        </w:rPr>
        <w:t>AEF  =  ( Iₛᴇᴿₛ / Cₛᴇᴿₛ )  ÷  ( Iᴿₛ / Cᴿₛ )</w:t>
      </w:r>
    </w:p>
    <w:p>
      <w:pPr>
        <w:spacing w:after="120"/>
        <w:ind w:left="680"/>
      </w:pPr>
      <w:r>
        <w:rPr>
          <w:i/>
          <w:color w:val="595959"/>
          <w:sz w:val="20"/>
        </w:rPr>
        <w:t>Source: Le Ru, E.C. &amp; Etchegoin, P.G., Principles of Surface-Enhanced Raman Spectroscopy and Related Plasmonic Effects, Elsevier, 2009, Equation 4.4, p. 187.</w:t>
      </w:r>
    </w:p>
    <w:p>
      <w:pPr>
        <w:spacing w:before="0" w:after="40"/>
        <w:jc w:val="left"/>
      </w:pPr>
      <w:r>
        <w:rPr>
          <w:b w:val="0"/>
          <w:i w:val="0"/>
          <w:sz w:val="22"/>
        </w:rPr>
        <w:t>Where:</w:t>
      </w:r>
    </w:p>
    <w:p>
      <w:pPr>
        <w:pStyle w:val="ListBullet"/>
        <w:spacing w:after="80"/>
      </w:pPr>
      <w:r>
        <w:rPr>
          <w:sz w:val="22"/>
        </w:rPr>
      </w:r>
      <w:r>
        <w:rPr>
          <w:b/>
          <w:sz w:val="22"/>
        </w:rPr>
        <w:t>Iₛᴇᴿₛ</w:t>
      </w:r>
      <w:r>
        <w:rPr>
          <w:sz w:val="22"/>
        </w:rPr>
        <w:t xml:space="preserve"> = intensity of a specific Raman peak in the SERS spectrum at concentration Cₛᴇᴿₛ</w:t>
      </w:r>
    </w:p>
    <w:p>
      <w:pPr>
        <w:pStyle w:val="ListBullet"/>
        <w:spacing w:after="80"/>
      </w:pPr>
      <w:r>
        <w:rPr>
          <w:sz w:val="22"/>
        </w:rPr>
      </w:r>
      <w:r>
        <w:rPr>
          <w:b/>
          <w:sz w:val="22"/>
        </w:rPr>
        <w:t>Iᴿₛ</w:t>
      </w:r>
      <w:r>
        <w:rPr>
          <w:sz w:val="22"/>
        </w:rPr>
        <w:t xml:space="preserve"> = intensity of the same Raman peak in normal (non-SERS) Raman spectrum at concentration Cᴿₛ</w:t>
      </w:r>
    </w:p>
    <w:p>
      <w:pPr>
        <w:pStyle w:val="ListBullet"/>
        <w:spacing w:after="80"/>
      </w:pPr>
      <w:r>
        <w:rPr>
          <w:sz w:val="22"/>
        </w:rPr>
      </w:r>
      <w:r>
        <w:rPr>
          <w:b/>
          <w:sz w:val="22"/>
        </w:rPr>
        <w:t>Cₛᴇᴿₛ</w:t>
      </w:r>
      <w:r>
        <w:rPr>
          <w:sz w:val="22"/>
        </w:rPr>
        <w:t xml:space="preserve"> = analyte concentration used for SERS measurement (10⁻¹° M in this paper)</w:t>
      </w:r>
    </w:p>
    <w:p>
      <w:pPr>
        <w:pStyle w:val="ListBullet"/>
        <w:spacing w:after="80"/>
      </w:pPr>
      <w:r>
        <w:rPr>
          <w:sz w:val="22"/>
        </w:rPr>
      </w:r>
      <w:r>
        <w:rPr>
          <w:b/>
          <w:sz w:val="22"/>
        </w:rPr>
        <w:t>Cᴿₛ</w:t>
      </w:r>
      <w:r>
        <w:rPr>
          <w:sz w:val="22"/>
        </w:rPr>
        <w:t xml:space="preserve"> = reference concentration for normal Raman (10⁻⁴ M in this paper)</w:t>
      </w:r>
    </w:p>
    <w:p>
      <w:pPr>
        <w:spacing w:before="0" w:after="40"/>
        <w:jc w:val="left"/>
      </w:pPr>
      <w:r>
        <w:rPr>
          <w:b w:val="0"/>
          <w:i w:val="0"/>
          <w:sz w:val="22"/>
        </w:rPr>
        <w:br/>
        <w:t>Applying the formula with the authors’ values:</w:t>
      </w:r>
    </w:p>
    <w:p>
      <w:pPr>
        <w:spacing w:after="40"/>
        <w:ind w:left="680"/>
        <w:shd w:val="clear" w:color="auto" w:fill="F2F2F2"/>
      </w:pPr>
      <w:r>
        <w:rPr>
          <w:sz w:val="22"/>
        </w:rPr>
        <w:t>AEF  =  ( Iₛᴇᴿₛ / 10⁻¹° M )  ÷  ( Iᴿₛ / 10⁻⁴ M )</w:t>
      </w:r>
    </w:p>
    <w:p>
      <w:pPr>
        <w:spacing w:after="120"/>
        <w:ind w:left="680"/>
        <w:shd w:val="clear" w:color="auto" w:fill="F2F2F2"/>
      </w:pPr>
      <w:r>
        <w:rPr>
          <w:b/>
          <w:sz w:val="22"/>
        </w:rPr>
        <w:t>AEF  =  ( Iₛᴇᴿₛ / Iᴿₛ )  ×  ( 10⁻⁴ / 10⁻¹° )  =  ( Iₛᴇᴿₛ / Iᴿₛ )  ×  10⁶</w:t>
      </w:r>
    </w:p>
    <w:p>
      <w:pPr>
        <w:spacing w:before="0" w:after="80"/>
        <w:jc w:val="left"/>
      </w:pPr>
      <w:r>
        <w:rPr>
          <w:b w:val="0"/>
          <w:i w:val="0"/>
          <w:sz w:val="22"/>
        </w:rPr>
        <w:t>The concentration ratio alone already gives 10⁶. This means the measured intensity ratio (Iₛᴇᴿₛ / Iᴿₛ) must be approximately 6.1 for the reported EF of 6.1×10⁶. The authors MUST state this explicitly and present the raw intensity values of Iₛᴇᴿₛ and Iᴿₛ from Figure 12 alongside the formula. Without the actual intensity ratio, the EF value cannot be independently verified.</w:t>
      </w:r>
    </w:p>
    <w:p>
      <w:pPr>
        <w:spacing w:before="0" w:after="80"/>
        <w:jc w:val="left"/>
      </w:pPr>
      <w:r>
        <w:rPr>
          <w:b w:val="0"/>
          <w:i w:val="0"/>
          <w:sz w:val="22"/>
        </w:rPr>
        <w:t>Additionally, the following mandatory items are absent from the manuscript and must be added:</w:t>
      </w:r>
    </w:p>
    <w:p>
      <w:pPr>
        <w:pStyle w:val="ListBullet"/>
        <w:spacing w:after="80"/>
      </w:pPr>
      <w:r>
        <w:rPr>
          <w:sz w:val="22"/>
        </w:rPr>
      </w:r>
      <w:r>
        <w:rPr>
          <w:b/>
          <w:sz w:val="22"/>
        </w:rPr>
        <w:t>Which Raman peak was used</w:t>
      </w:r>
      <w:r>
        <w:rPr>
          <w:sz w:val="22"/>
        </w:rPr>
        <w:t xml:space="preserve"> for EF calculation (likely 1622 cm⁻¹ based on Figure 12, but must be explicitly stated)</w:t>
      </w:r>
    </w:p>
    <w:p>
      <w:pPr>
        <w:pStyle w:val="ListBullet"/>
        <w:spacing w:after="80"/>
      </w:pPr>
      <w:r>
        <w:rPr>
          <w:sz w:val="22"/>
        </w:rPr>
      </w:r>
      <w:r>
        <w:rPr>
          <w:b/>
          <w:sz w:val="22"/>
        </w:rPr>
        <w:t>Equal acquisition conditions</w:t>
      </w:r>
      <w:r>
        <w:rPr>
          <w:sz w:val="22"/>
        </w:rPr>
        <w:t>: integration time and laser power must be identical for SERS and reference spectra</w:t>
      </w:r>
    </w:p>
    <w:p>
      <w:pPr>
        <w:pStyle w:val="ListBullet"/>
        <w:spacing w:after="80"/>
      </w:pPr>
      <w:r>
        <w:rPr>
          <w:sz w:val="22"/>
        </w:rPr>
      </w:r>
      <w:r>
        <w:rPr>
          <w:b/>
          <w:sz w:val="22"/>
        </w:rPr>
        <w:t>Reference substrate</w:t>
      </w:r>
      <w:r>
        <w:rPr>
          <w:sz w:val="22"/>
        </w:rPr>
        <w:t>: silicon is stated, but the baseline Raman signal of MB on bare silicon at 10⁻⁴ M must be shown as a figure</w:t>
      </w:r>
    </w:p>
    <w:p>
      <w:pPr>
        <w:pStyle w:val="ListBullet"/>
        <w:spacing w:after="80"/>
      </w:pPr>
      <w:r>
        <w:rPr>
          <w:sz w:val="22"/>
        </w:rPr>
      </w:r>
      <w:r>
        <w:rPr>
          <w:b/>
          <w:sz w:val="22"/>
        </w:rPr>
        <w:t>EF type must be named</w:t>
      </w:r>
      <w:r>
        <w:rPr>
          <w:sz w:val="22"/>
        </w:rPr>
        <w:t>: state clearly this is AEF, not Single-Molecule EF (SMEF) or Surface EF (SEᴿₛₛ)</w:t>
      </w:r>
    </w:p>
    <w:p>
      <w:pPr>
        <w:spacing w:before="0" w:after="80"/>
        <w:jc w:val="left"/>
      </w:pPr>
      <w:r>
        <w:rPr>
          <w:b w:val="0"/>
          <w:i w:val="0"/>
          <w:sz w:val="22"/>
        </w:rPr>
        <w:t>The physically rigorous Surface EF formula (Le Ru &amp; Etchegoin, Eq. 4.6–4.9, pp. 188–190) is:</w:t>
      </w:r>
    </w:p>
    <w:p>
      <w:pPr>
        <w:spacing w:after="40"/>
        <w:ind w:left="680"/>
        <w:shd w:val="clear" w:color="auto" w:fill="F2F2F2"/>
      </w:pPr>
      <w:r>
        <w:rPr>
          <w:b/>
          <w:color w:val="1F497D"/>
          <w:sz w:val="24"/>
        </w:rPr>
        <w:t>EF  =  ( Iₛᴇᴿₛ / Nₛᵁʳᶠ )  ÷  ( Iᴿₛ / Nᵝᵒᵌ )</w:t>
      </w:r>
    </w:p>
    <w:p>
      <w:pPr>
        <w:spacing w:after="120"/>
        <w:ind w:left="680"/>
        <w:shd w:val="clear" w:color="auto" w:fill="F2F2F2"/>
      </w:pPr>
      <w:r>
        <w:rPr>
          <w:sz w:val="22"/>
        </w:rPr>
        <w:t>where  Nᵝᵒᵌ = Cᴿₛ × Nₐ × Vᶠᵒᵋᵃᵌ   and   Nₛᵁʳᶠ = Cₛᵁʳᶠ × Aₛᵖᵒᵗ</w:t>
      </w:r>
    </w:p>
    <w:p>
      <w:pPr>
        <w:pStyle w:val="ListBullet"/>
        <w:spacing w:after="80"/>
      </w:pPr>
      <w:r>
        <w:rPr>
          <w:sz w:val="22"/>
        </w:rPr>
      </w:r>
      <w:r>
        <w:rPr>
          <w:b/>
          <w:sz w:val="22"/>
        </w:rPr>
        <w:t>Nᵝᵒᵌ</w:t>
      </w:r>
      <w:r>
        <w:rPr>
          <w:sz w:val="22"/>
        </w:rPr>
        <w:t>: number of molecules in the confocal laser probe volume for normal Raman (requires Vᶠᵒᵋᵃᵌ of instrument, typically 1–10 pL)</w:t>
      </w:r>
    </w:p>
    <w:p>
      <w:pPr>
        <w:pStyle w:val="ListBullet"/>
        <w:spacing w:after="80"/>
      </w:pPr>
      <w:r>
        <w:rPr>
          <w:sz w:val="22"/>
        </w:rPr>
      </w:r>
      <w:r>
        <w:rPr>
          <w:b/>
          <w:sz w:val="22"/>
        </w:rPr>
        <w:t>Nₛᵁʳᶠ</w:t>
      </w:r>
      <w:r>
        <w:rPr>
          <w:sz w:val="22"/>
        </w:rPr>
        <w:t>: number of molecules adsorbed on the substrate within the laser spot area Aₛᵖᵒᵗ = πr²</w:t>
      </w:r>
    </w:p>
    <w:p>
      <w:pPr>
        <w:pStyle w:val="ListBullet"/>
        <w:spacing w:after="80"/>
      </w:pPr>
      <w:r>
        <w:rPr>
          <w:sz w:val="22"/>
        </w:rPr>
      </w:r>
      <w:r>
        <w:rPr>
          <w:b/>
          <w:sz w:val="22"/>
        </w:rPr>
        <w:t>Cₛᵁʳᶠ</w:t>
      </w:r>
      <w:r>
        <w:rPr>
          <w:sz w:val="22"/>
        </w:rPr>
        <w:t>: surface concentration of MB on the substrate (mol/cm²) — requires separate calibration</w:t>
      </w:r>
    </w:p>
    <w:p>
      <w:pPr>
        <w:spacing w:before="0" w:after="200"/>
        <w:jc w:val="left"/>
      </w:pPr>
      <w:r>
        <w:rPr>
          <w:b w:val="0"/>
          <w:i w:val="0"/>
          <w:sz w:val="22"/>
        </w:rPr>
        <w:t>The authors are requested to either (a) present the full AEF calculation with all numerical values, or (b) compute the more rigorous Surface EF by reporting the laser spot size (from the LabRAM HR 800 specifications) and estimating the surface coverage of MB at 10⁻¹° M.</w:t>
      </w:r>
    </w:p>
    <w:p>
      <w:pPr>
        <w:spacing w:before="240" w:after="80"/>
      </w:pPr>
      <w:r>
        <w:rPr>
          <w:b/>
          <w:color w:val="1F497D"/>
          <w:sz w:val="24"/>
        </w:rPr>
        <w:t>Comment 2 — FDTD Model is Physically Inconsistent with the Real Substrate</w:t>
      </w:r>
    </w:p>
    <w:p>
      <w:pPr>
        <w:spacing w:before="0" w:after="120"/>
        <w:jc w:val="left"/>
      </w:pPr>
      <w:r>
        <w:rPr>
          <w:b w:val="0"/>
          <w:i w:val="0"/>
          <w:sz w:val="22"/>
        </w:rPr>
        <w:t>The authors model the Cu/G system as a single spherical Cu nanoparticle (diameter 100 nm) coated with a 1 nm graphene shell (Section 2). The real substrate, however, consists of 1D nanowires (~100 nm diameter) arranged in a dense, interconnected network. This is a fundamental physical inconsistency.</w:t>
      </w:r>
    </w:p>
    <w:p>
      <w:pPr>
        <w:pStyle w:val="ListBullet"/>
        <w:spacing w:after="80"/>
      </w:pPr>
      <w:r>
        <w:rPr>
          <w:sz w:val="22"/>
        </w:rPr>
        <w:t>A sphere supports a dipolar plasmon resonance that is fundamentally different from the resonance of a 1D cylinder. The resonance wavelength, Q-factor, and near-field profile are not equivalent.</w:t>
      </w:r>
    </w:p>
    <w:p>
      <w:pPr>
        <w:pStyle w:val="ListBullet"/>
        <w:spacing w:after="80"/>
      </w:pPr>
      <w:r>
        <w:rPr>
          <w:sz w:val="22"/>
        </w:rPr>
      </w:r>
      <w:r>
        <w:rPr>
          <w:b/>
          <w:sz w:val="22"/>
        </w:rPr>
        <w:t>SERS hot spots</w:t>
      </w:r>
      <w:r>
        <w:rPr>
          <w:sz w:val="22"/>
        </w:rPr>
        <w:t xml:space="preserve"> in nanowire networks are generated at nanogap junctions between crossing wires — not at the surface of an isolated sphere. The |E|² (and therefore |E|⁴) enhancement at these junctions can be orders of magnitude larger than at a single-sphere surface.</w:t>
      </w:r>
    </w:p>
    <w:p>
      <w:pPr>
        <w:pStyle w:val="ListBullet"/>
        <w:spacing w:after="80"/>
      </w:pPr>
      <w:r>
        <w:rPr>
          <w:sz w:val="22"/>
        </w:rPr>
        <w:t>The agreement between simulated (633 nm optimal) and experimental Raman intensity maximum may be coincidental. Copper’s plasmonic peak in the visible range falls around 550–650 nm for most geometries, so agreement at 633 nm does not validate the model geometry.</w:t>
      </w:r>
    </w:p>
    <w:p>
      <w:pPr>
        <w:pStyle w:val="ListBullet"/>
        <w:spacing w:after="80"/>
      </w:pPr>
      <w:r>
        <w:rPr>
          <w:sz w:val="22"/>
        </w:rPr>
        <w:t>Furthermore, the FDTD simulation presents |E|² enhancement maps (near-field intensity), but the SERS EF scales as |E|⁴ (the fourth power of the local field). The authors should present |E/E₀|⁴ maps, not |E|², for direct comparison to the measured EF. This is standard in the field (Moskovits, Rev. Mod. Phys. 57, 783, 1985).</w:t>
      </w:r>
    </w:p>
    <w:p>
      <w:pPr>
        <w:spacing w:before="0" w:after="200"/>
        <w:jc w:val="left"/>
      </w:pPr>
      <w:r>
        <w:rPr>
          <w:b w:val="0"/>
          <w:i w:val="0"/>
          <w:sz w:val="22"/>
        </w:rPr>
        <w:t>The authors should either (a) construct a FDTD model of two crossing nanowires with a nanogap (which is where the actual hot spots reside), or (b) explicitly state the severe limitations of the sphere model and remove any quantitative claim linking the simulation to the measured EF.</w:t>
      </w:r>
    </w:p>
    <w:p>
      <w:pPr>
        <w:spacing w:before="240" w:after="80"/>
      </w:pPr>
      <w:r>
        <w:rPr>
          <w:b/>
          <w:color w:val="1F497D"/>
          <w:sz w:val="24"/>
        </w:rPr>
        <w:t>Comment 3 — Graphene Quality is Poor and Its Consequences Are Not Discussed</w:t>
      </w:r>
    </w:p>
    <w:p>
      <w:pPr>
        <w:spacing w:before="0" w:after="80"/>
        <w:jc w:val="left"/>
      </w:pPr>
      <w:r>
        <w:rPr>
          <w:b w:val="0"/>
          <w:i w:val="0"/>
          <w:sz w:val="22"/>
        </w:rPr>
        <w:t>The Raman spectrum of the graphene layer (Figure 7) shows:</w:t>
      </w:r>
    </w:p>
    <w:p>
      <w:pPr>
        <w:pStyle w:val="ListBullet"/>
        <w:spacing w:after="80"/>
      </w:pPr>
      <w:r>
        <w:rPr>
          <w:sz w:val="22"/>
        </w:rPr>
        <w:t>D band at 1367 cm⁻¹: strong, indicating high defect density</w:t>
      </w:r>
    </w:p>
    <w:p>
      <w:pPr>
        <w:pStyle w:val="ListBullet"/>
        <w:spacing w:after="80"/>
      </w:pPr>
      <w:r>
        <w:rPr>
          <w:sz w:val="22"/>
        </w:rPr>
        <w:t>G band at 1580 cm⁻¹: present, confirming sp² carbon network</w:t>
      </w:r>
    </w:p>
    <w:p>
      <w:pPr>
        <w:pStyle w:val="ListBullet"/>
        <w:spacing w:after="80"/>
      </w:pPr>
      <w:r>
        <w:rPr>
          <w:sz w:val="22"/>
        </w:rPr>
        <w:t>2D band: very weak or absent from the figure description</w:t>
      </w:r>
    </w:p>
    <w:p>
      <w:pPr>
        <w:spacing w:before="0" w:after="80"/>
        <w:jc w:val="left"/>
      </w:pPr>
      <w:r>
        <w:rPr>
          <w:b w:val="0"/>
          <w:i w:val="0"/>
          <w:sz w:val="22"/>
        </w:rPr>
        <w:t>A high D/G ratio (the authors do not quantify it) confirms that the deposited carbon is highly defective graphene or nanocrystalline graphite, not high-quality monolayer graphene. This has direct physical consequences that are not addressed in the manuscript:</w:t>
      </w:r>
    </w:p>
    <w:p>
      <w:pPr>
        <w:pStyle w:val="ListBullet"/>
        <w:spacing w:after="80"/>
      </w:pPr>
      <w:r>
        <w:rPr>
          <w:sz w:val="22"/>
        </w:rPr>
        <w:t>Defective graphene has significantly reduced electrical conductivity compared to pristine graphene. The charge-transfer (chemical) enhancement mechanism relies on efficient electron transfer between graphene and the analyte molecule (Ling et al., J. Phys. Chem. C 116, 25112, 2012). Reduced conductivity weakens this mechanism.</w:t>
      </w:r>
    </w:p>
    <w:p>
      <w:pPr>
        <w:pStyle w:val="ListBullet"/>
        <w:spacing w:after="80"/>
      </w:pPr>
      <w:r>
        <w:rPr>
          <w:sz w:val="22"/>
        </w:rPr>
        <w:t>A large D band means many sp³-hybridised defect sites that can act as scattering centres, potentially increasing the SERS background noise.</w:t>
      </w:r>
    </w:p>
    <w:p>
      <w:pPr>
        <w:pStyle w:val="ListBullet"/>
        <w:spacing w:after="80"/>
      </w:pPr>
      <w:r>
        <w:rPr>
          <w:sz w:val="22"/>
        </w:rPr>
        <w:t>The authors claim graphene acts as a protective passivation layer against Cu oxidation, but defective graphene has grain boundaries and pinholes that are permeable to oxygen. The effectiveness of the passivation layer depends critically on graphene coverage and continuity, which is not demonstrated.</w:t>
      </w:r>
    </w:p>
    <w:p>
      <w:pPr>
        <w:spacing w:before="0" w:after="200"/>
        <w:jc w:val="left"/>
      </w:pPr>
      <w:r>
        <w:rPr>
          <w:b w:val="0"/>
          <w:i w:val="0"/>
          <w:sz w:val="22"/>
        </w:rPr>
        <w:t>Required additions: (a) report the I(D)/I(G) ratio and the 2D band FWHM; (b) estimate the average sp² domain size using the Tuinstra–Koenig relation: Lₐ (nm) = (2.4×10⁻¹°) λₗ⁴ (I(G)/I(D)), where λₗ = 632.8 nm; (c) discuss explicitly whether defective graphene is adequate for the claimed SERS enhancement and oxidation protection roles.</w:t>
      </w:r>
    </w:p>
    <w:p>
      <w:pPr>
        <w:spacing w:before="240" w:after="80"/>
      </w:pPr>
      <w:r>
        <w:rPr>
          <w:b/>
          <w:color w:val="1F497D"/>
          <w:sz w:val="24"/>
        </w:rPr>
        <w:t>Comment 4 — Oxidation Protection by Graphene: Evidence is Indirect</w:t>
      </w:r>
    </w:p>
    <w:p>
      <w:pPr>
        <w:spacing w:before="0" w:after="120"/>
        <w:jc w:val="left"/>
      </w:pPr>
      <w:r>
        <w:rPr>
          <w:b w:val="0"/>
          <w:i w:val="0"/>
          <w:sz w:val="22"/>
        </w:rPr>
        <w:t>The claim that graphene protects Cu from oxidation over 90 days (the central practical claim of the paper) is supported only by the absence of CuO/Cu₂O peaks in Raman spectra (Figure 10a). While this is encouraging, Raman spectroscopy is not sufficiently sensitive to detect sub-monolayer surface oxide formation.</w:t>
      </w:r>
    </w:p>
    <w:p>
      <w:pPr>
        <w:pStyle w:val="ListBullet"/>
        <w:spacing w:after="80"/>
      </w:pPr>
      <w:r>
        <w:rPr>
          <w:sz w:val="22"/>
        </w:rPr>
      </w:r>
      <w:r>
        <w:rPr>
          <w:b/>
          <w:sz w:val="22"/>
        </w:rPr>
        <w:t>X-ray Photoelectron Spectroscopy (XPS)</w:t>
      </w:r>
      <w:r>
        <w:rPr>
          <w:sz w:val="22"/>
        </w:rPr>
        <w:t xml:space="preserve"> of the Cu 2p₃/₂ peak (binding energy ~932.6 eV for Cu⁰, ~933.6 eV for Cu²⁺) before and after 90-day ageing would provide definitive evidence. This measurement is strongly recommended.</w:t>
      </w:r>
    </w:p>
    <w:p>
      <w:pPr>
        <w:pStyle w:val="ListBullet"/>
        <w:spacing w:after="80"/>
      </w:pPr>
      <w:r>
        <w:rPr>
          <w:sz w:val="22"/>
        </w:rPr>
        <w:t xml:space="preserve">A </w:t>
      </w:r>
      <w:r>
        <w:rPr>
          <w:b/>
          <w:sz w:val="22"/>
        </w:rPr>
        <w:t>control experiment</w:t>
      </w:r>
      <w:r>
        <w:rPr>
          <w:sz w:val="22"/>
        </w:rPr>
        <w:t xml:space="preserve"> is missing: bare Cu nanowires (without graphene) measured under identical storage conditions should show progressive CuO formation and corresponding SERS signal degradation. The absence of this control weakens the causal argument for graphene as the protective agent.</w:t>
      </w:r>
    </w:p>
    <w:p>
      <w:pPr>
        <w:pStyle w:val="ListBullet"/>
        <w:spacing w:after="80"/>
      </w:pPr>
      <w:r>
        <w:rPr>
          <w:sz w:val="22"/>
        </w:rPr>
        <w:t>The statement that bare Cu nanowires show Cu₂O and CuO Raman peaks after just 5 hours (Figure 10a) is important and convincing. The same time-series analysis should be performed for Cu/G nanowires (at 1 day, 7 days, 30 days, 90 days) to demonstrate the kinetics of protection.</w:t>
      </w:r>
    </w:p>
    <w:p/>
    <w:p>
      <w:pPr>
        <w:spacing w:before="240" w:after="80"/>
      </w:pPr>
      <w:r>
        <w:rPr>
          <w:b/>
          <w:color w:val="1F497D"/>
          <w:sz w:val="24"/>
        </w:rPr>
        <w:t>Comment 5 — LOD Calculation Method Must Be Explicitly Stated</w:t>
      </w:r>
    </w:p>
    <w:p>
      <w:pPr>
        <w:spacing w:before="0" w:after="80"/>
        <w:jc w:val="left"/>
      </w:pPr>
      <w:r>
        <w:rPr>
          <w:b w:val="0"/>
          <w:i w:val="0"/>
          <w:sz w:val="22"/>
        </w:rPr>
        <w:t>The Limit of Detection (LOD) is reported as 5.69×10⁻¹¹ M but the calculation method is not stated. The internationally accepted IUPAC definition (and the standard used by Analytical Chemistry journals) is:</w:t>
      </w:r>
    </w:p>
    <w:p>
      <w:pPr>
        <w:spacing w:after="120"/>
        <w:ind w:left="680"/>
        <w:shd w:val="clear" w:color="auto" w:fill="F2F2F2"/>
      </w:pPr>
      <w:r>
        <w:rPr>
          <w:b/>
          <w:color w:val="1F497D"/>
          <w:sz w:val="26"/>
        </w:rPr>
        <w:t>LOD  =  3σ / S</w:t>
      </w:r>
    </w:p>
    <w:p>
      <w:pPr>
        <w:spacing w:before="0" w:after="40"/>
        <w:jc w:val="left"/>
      </w:pPr>
      <w:r>
        <w:rPr>
          <w:b w:val="0"/>
          <w:i w:val="0"/>
          <w:sz w:val="22"/>
        </w:rPr>
        <w:t>Where:</w:t>
      </w:r>
    </w:p>
    <w:p>
      <w:pPr>
        <w:pStyle w:val="ListBullet"/>
        <w:spacing w:after="80"/>
      </w:pPr>
      <w:r>
        <w:rPr>
          <w:sz w:val="22"/>
        </w:rPr>
      </w:r>
      <w:r>
        <w:rPr>
          <w:b/>
          <w:sz w:val="22"/>
        </w:rPr>
        <w:t>σ</w:t>
      </w:r>
      <w:r>
        <w:rPr>
          <w:sz w:val="22"/>
        </w:rPr>
        <w:t xml:space="preserve"> = standard deviation of the blank signal (substrate without analyte), measured at least 10 times</w:t>
      </w:r>
    </w:p>
    <w:p>
      <w:pPr>
        <w:pStyle w:val="ListBullet"/>
        <w:spacing w:after="80"/>
      </w:pPr>
      <w:r>
        <w:rPr>
          <w:sz w:val="22"/>
        </w:rPr>
      </w:r>
      <w:r>
        <w:rPr>
          <w:b/>
          <w:sz w:val="22"/>
        </w:rPr>
        <w:t>S</w:t>
      </w:r>
      <w:r>
        <w:rPr>
          <w:sz w:val="22"/>
        </w:rPr>
        <w:t xml:space="preserve"> = slope of the calibration curve (SERS intensity vs. MB concentration), from Figure 12b</w:t>
      </w:r>
    </w:p>
    <w:p>
      <w:pPr>
        <w:spacing w:before="0" w:after="200"/>
        <w:jc w:val="left"/>
      </w:pPr>
      <w:r>
        <w:rPr>
          <w:b w:val="0"/>
          <w:i w:val="0"/>
          <w:sz w:val="22"/>
        </w:rPr>
        <w:t>The authors must verify that 5.69×10⁻¹¹ M was derived from this formula and present the values of σ and S used. Simply identifying the lowest visible concentration in Figure 12a (10⁻¹° M) as the LOD is not acceptable by journal standards.</w:t>
      </w:r>
    </w:p>
    <w:p>
      <w:pPr>
        <w:spacing w:before="240" w:after="80"/>
      </w:pPr>
      <w:r>
        <w:rPr>
          <w:b/>
          <w:color w:val="1F497D"/>
          <w:sz w:val="24"/>
        </w:rPr>
        <w:t>Comment 6 — Single Analyte (Methylene Blue) is Insufficient for Environmental Monitoring Claims</w:t>
      </w:r>
    </w:p>
    <w:p>
      <w:pPr>
        <w:spacing w:before="0" w:after="120"/>
        <w:jc w:val="left"/>
      </w:pPr>
      <w:r>
        <w:rPr>
          <w:b w:val="0"/>
          <w:i w:val="0"/>
          <w:sz w:val="22"/>
        </w:rPr>
        <w:t>The authors conclude that Cu/G nanowires have “potential applications in environmental monitoring and analytical chemistry at very low concentrations.” However, the entire detection study uses only methylene blue (MB), which is a well-known strongly SERS-active dye that adsorbs on graphene via π–π stacking interactions. MB is not a standard environmental pollutant.</w:t>
      </w:r>
    </w:p>
    <w:p>
      <w:pPr>
        <w:pStyle w:val="ListBullet"/>
        <w:spacing w:after="80"/>
      </w:pPr>
      <w:r>
        <w:rPr>
          <w:sz w:val="22"/>
        </w:rPr>
        <w:t>MB’s strong adsorption on graphene (due to π–π stacking) artificially improves sensitivity beyond what would be achieved for a molecule that does not interact specifically with graphene.</w:t>
      </w:r>
    </w:p>
    <w:p>
      <w:pPr>
        <w:pStyle w:val="ListBullet"/>
        <w:spacing w:after="80"/>
      </w:pPr>
      <w:r>
        <w:rPr>
          <w:sz w:val="22"/>
        </w:rPr>
        <w:t>Real environmental pollutants (e.g., pesticides, heavy metal ions, polycyclic aromatic hydrocarbons) have very different Raman cross-sections and surface affinities.</w:t>
      </w:r>
    </w:p>
    <w:p>
      <w:pPr>
        <w:pStyle w:val="ListBullet"/>
        <w:spacing w:after="80"/>
      </w:pPr>
      <w:r>
        <w:rPr>
          <w:sz w:val="22"/>
        </w:rPr>
        <w:t>The authors should either (a) test at least one additional, non-dye analyte, or (b) restrict the conclusions strictly to MB detection and remove the broad environmental monitoring claim.</w:t>
      </w:r>
    </w:p>
    <w:p/>
    <w:p>
      <w:pPr>
        <w:spacing w:before="240" w:after="80"/>
      </w:pPr>
      <w:r>
        <w:rPr>
          <w:b/>
          <w:color w:val="1F497D"/>
          <w:sz w:val="24"/>
        </w:rPr>
        <w:t>Comment 7 — CVD Temperature Range is Too Narrow; Optimal Point is at the Boundary</w:t>
      </w:r>
    </w:p>
    <w:p>
      <w:pPr>
        <w:spacing w:before="0" w:after="120"/>
        <w:jc w:val="left"/>
      </w:pPr>
      <w:r>
        <w:rPr>
          <w:b w:val="0"/>
          <w:i w:val="0"/>
          <w:sz w:val="22"/>
        </w:rPr>
        <w:t>CVD growth was studied at three temperatures: 400°C, 450°C, and 500°C. The best result is at 400°C, which is the lowest temperature tested. This raises the question: would lower temperatures (e.g., 350°C, 375°C) yield even better SERS performance by preserving nanowire morphology while still depositing carbon?</w:t>
      </w:r>
    </w:p>
    <w:p>
      <w:pPr>
        <w:pStyle w:val="ListBullet"/>
        <w:spacing w:after="80"/>
      </w:pPr>
      <w:r>
        <w:rPr>
          <w:sz w:val="22"/>
        </w:rPr>
        <w:t>The XRD data (Figure 4) already shows that at 350°C only partial reduction occurs (Cu₂O intermediate is present). This means the CVD temperature range and the reduction temperature range are coupled and cannot be independently optimized with the current experimental design.</w:t>
      </w:r>
    </w:p>
    <w:p>
      <w:pPr>
        <w:pStyle w:val="ListBullet"/>
        <w:spacing w:after="80"/>
      </w:pPr>
      <w:r>
        <w:rPr>
          <w:sz w:val="22"/>
        </w:rPr>
        <w:t>The authors should include 350°C as a CVD-only data point (after reduction at 400°C) to separate the effects of reduction temperature from CVD temperature.</w:t>
      </w:r>
    </w:p>
    <w:p/>
    <w:p>
      <w:pPr>
        <w:spacing w:before="240" w:after="80"/>
      </w:pPr>
      <w:r>
        <w:rPr>
          <w:b/>
          <w:color w:val="1F497D"/>
          <w:sz w:val="24"/>
        </w:rPr>
        <w:t>Comment 8 — Rayleigh Instability Discussion: Correct Physics, Missing Quantification</w:t>
      </w:r>
    </w:p>
    <w:p>
      <w:pPr>
        <w:spacing w:before="0" w:after="120"/>
        <w:jc w:val="left"/>
      </w:pPr>
      <w:r>
        <w:rPr>
          <w:b w:val="0"/>
          <w:i w:val="0"/>
          <w:sz w:val="22"/>
        </w:rPr>
        <w:t>The authors correctly invoke Rayleigh–Plateau instability and the Gibbs–Thomson effect to explain nanowire fragmentation at temperatures above 400°C. The physical argument is sound. However, the discussion can be strengthened by one quantitative comparison that is absent:</w:t>
      </w:r>
    </w:p>
    <w:p>
      <w:pPr>
        <w:spacing w:before="0" w:after="80"/>
        <w:jc w:val="left"/>
      </w:pPr>
      <w:r>
        <w:rPr>
          <w:b w:val="0"/>
          <w:i w:val="0"/>
          <w:sz w:val="22"/>
        </w:rPr>
        <w:t>The melting point depression of Cu nanostructures relative to bulk Cu (Tᵐ = 1084°C) follows the Gibbs–Thomson (Pawlow) formula:</w:t>
      </w:r>
    </w:p>
    <w:p>
      <w:pPr>
        <w:spacing w:after="120"/>
        <w:ind w:left="680"/>
        <w:shd w:val="clear" w:color="auto" w:fill="F2F2F2"/>
      </w:pPr>
      <w:r>
        <w:rPr>
          <w:b/>
          <w:color w:val="1F497D"/>
          <w:sz w:val="22"/>
        </w:rPr>
        <w:t>Tᵐ(nano) = Tᵐ(bulk) × [ 1 − ( 4γVᵐ ) / ( ΔHᶠ × ρᵌ × d ) ]</w:t>
      </w:r>
    </w:p>
    <w:p>
      <w:pPr>
        <w:spacing w:before="0" w:after="40"/>
        <w:jc w:val="left"/>
      </w:pPr>
      <w:r>
        <w:rPr>
          <w:b w:val="0"/>
          <w:i w:val="0"/>
          <w:sz w:val="22"/>
        </w:rPr>
        <w:t>Where:</w:t>
      </w:r>
    </w:p>
    <w:p>
      <w:pPr>
        <w:pStyle w:val="ListBullet"/>
        <w:spacing w:after="80"/>
      </w:pPr>
      <w:r>
        <w:rPr>
          <w:sz w:val="22"/>
        </w:rPr>
      </w:r>
      <w:r>
        <w:rPr>
          <w:b/>
          <w:sz w:val="22"/>
        </w:rPr>
        <w:t>γ</w:t>
      </w:r>
      <w:r>
        <w:rPr>
          <w:sz w:val="22"/>
        </w:rPr>
        <w:t xml:space="preserve"> = surface energy of Cu (≈ 1.79 J/m²)</w:t>
      </w:r>
    </w:p>
    <w:p>
      <w:pPr>
        <w:pStyle w:val="ListBullet"/>
        <w:spacing w:after="80"/>
      </w:pPr>
      <w:r>
        <w:rPr>
          <w:sz w:val="22"/>
        </w:rPr>
      </w:r>
      <w:r>
        <w:rPr>
          <w:b/>
          <w:sz w:val="22"/>
        </w:rPr>
        <w:t>Vᵐ</w:t>
      </w:r>
      <w:r>
        <w:rPr>
          <w:sz w:val="22"/>
        </w:rPr>
        <w:t xml:space="preserve"> = molar volume of Cu (7.09×10⁻⁶ m³/mol)</w:t>
      </w:r>
    </w:p>
    <w:p>
      <w:pPr>
        <w:pStyle w:val="ListBullet"/>
        <w:spacing w:after="80"/>
      </w:pPr>
      <w:r>
        <w:rPr>
          <w:sz w:val="22"/>
        </w:rPr>
      </w:r>
      <w:r>
        <w:rPr>
          <w:b/>
          <w:sz w:val="22"/>
        </w:rPr>
        <w:t>ΔHᶠ</w:t>
      </w:r>
      <w:r>
        <w:rPr>
          <w:sz w:val="22"/>
        </w:rPr>
        <w:t xml:space="preserve"> = latent heat of fusion of Cu (13.05 kJ/mol)</w:t>
      </w:r>
    </w:p>
    <w:p>
      <w:pPr>
        <w:pStyle w:val="ListBullet"/>
        <w:spacing w:after="80"/>
      </w:pPr>
      <w:r>
        <w:rPr>
          <w:sz w:val="22"/>
        </w:rPr>
      </w:r>
      <w:r>
        <w:rPr>
          <w:b/>
          <w:sz w:val="22"/>
        </w:rPr>
        <w:t>ρᵌ</w:t>
      </w:r>
      <w:r>
        <w:rPr>
          <w:sz w:val="22"/>
        </w:rPr>
        <w:t xml:space="preserve"> = density of Cu (8960 kg/m³)</w:t>
      </w:r>
    </w:p>
    <w:p>
      <w:pPr>
        <w:pStyle w:val="ListBullet"/>
        <w:spacing w:after="80"/>
      </w:pPr>
      <w:r>
        <w:rPr>
          <w:sz w:val="22"/>
        </w:rPr>
      </w:r>
      <w:r>
        <w:rPr>
          <w:b/>
          <w:sz w:val="22"/>
        </w:rPr>
        <w:t>d</w:t>
      </w:r>
      <w:r>
        <w:rPr>
          <w:sz w:val="22"/>
        </w:rPr>
        <w:t xml:space="preserve"> = nanowire diameter (~100 nm in this study)</w:t>
      </w:r>
    </w:p>
    <w:p>
      <w:pPr>
        <w:spacing w:before="0" w:after="200"/>
        <w:jc w:val="left"/>
      </w:pPr>
      <w:r>
        <w:rPr>
          <w:b w:val="0"/>
          <w:i w:val="0"/>
          <w:sz w:val="22"/>
        </w:rPr>
        <w:t>For d = 100 nm, this formula predicts a melting point depression of approximately 4–10°C from bulk, which does not fully explain fragmentation at 450°C. The fragmentation is therefore dominated by solid-state surface diffusion and Rayleigh instability well below the melting point, as correctly stated. The authors should add this numerical estimate to confirm that the observed fragmentation is a solid-state phenomenon and not simple melting.</w:t>
      </w:r>
    </w:p>
    <w:p>
      <w:pPr>
        <w:spacing w:before="240" w:after="80"/>
      </w:pPr>
      <w:r>
        <w:rPr>
          <w:b/>
          <w:color w:val="1F497D"/>
          <w:sz w:val="24"/>
        </w:rPr>
        <w:t>Comment 9 — Spot-to-Spot Reproducibility: Data Exists but RSD Must Be Reported</w:t>
      </w:r>
    </w:p>
    <w:p>
      <w:pPr>
        <w:spacing w:before="0" w:after="120"/>
        <w:jc w:val="left"/>
      </w:pPr>
      <w:r>
        <w:rPr>
          <w:b w:val="0"/>
          <w:i w:val="0"/>
          <w:sz w:val="22"/>
        </w:rPr>
        <w:t>Figure 13 shows SERS mapping data from multiple positions before and after 90 days, which is commendable. However, the manuscript only qualitatively states that “variation in intensity between different locations was small.” This is insufficient for a quantitative analytical chemistry paper.</w:t>
      </w:r>
    </w:p>
    <w:p>
      <w:pPr>
        <w:pStyle w:val="ListBullet"/>
        <w:spacing w:after="80"/>
      </w:pPr>
      <w:r>
        <w:rPr>
          <w:sz w:val="22"/>
        </w:rPr>
        <w:t xml:space="preserve">The </w:t>
      </w:r>
      <w:r>
        <w:rPr>
          <w:b/>
          <w:sz w:val="22"/>
        </w:rPr>
        <w:t>Relative Standard Deviation (RSD)</w:t>
      </w:r>
      <w:r>
        <w:rPr>
          <w:sz w:val="22"/>
        </w:rPr>
        <w:t xml:space="preserve"> of the SERS intensity across all mapping points must be calculated and reported: RSD (%) = (σ / μ̅) × 100</w:t>
      </w:r>
    </w:p>
    <w:p>
      <w:pPr>
        <w:pStyle w:val="ListBullet"/>
        <w:spacing w:after="80"/>
      </w:pPr>
      <w:r>
        <w:rPr>
          <w:sz w:val="22"/>
        </w:rPr>
        <w:t>The accepted benchmark for a reproducible SERS substrate is RSD &lt; 15–20% (see: Ding et al., Nature Reviews Materials 1, 16021, 2016).</w:t>
      </w:r>
    </w:p>
    <w:p>
      <w:pPr>
        <w:pStyle w:val="ListBullet"/>
        <w:spacing w:after="80"/>
      </w:pPr>
      <w:r>
        <w:rPr>
          <w:sz w:val="22"/>
        </w:rPr>
        <w:t>The number of mapping points used must be stated (minimum 20–30 points is expected).</w:t>
      </w:r>
    </w:p>
    <w:p/>
    <w:p>
      <w:pPr>
        <w:spacing w:before="240" w:after="80"/>
      </w:pPr>
      <w:r>
        <w:rPr>
          <w:b/>
          <w:color w:val="1F497D"/>
          <w:sz w:val="24"/>
        </w:rPr>
        <w:t>Comment 10 — Missing EDS/XPS Evidence for Carbon (Graphene) Elemental Confirmation</w:t>
      </w:r>
    </w:p>
    <w:p>
      <w:pPr>
        <w:spacing w:before="0" w:after="120"/>
        <w:jc w:val="left"/>
      </w:pPr>
      <w:r>
        <w:rPr>
          <w:b w:val="0"/>
          <w:i w:val="0"/>
          <w:sz w:val="22"/>
        </w:rPr>
        <w:t>Figure 6b shows the EDS spectrum of Cu/G nanowires after reduction and CVD. The authors report a decrease in the oxygen signal confirming reduction to Cu metal. However, it is not clearly stated whether a carbon (C) peak appears in the EDS spectrum after CVD, which would be the direct elemental evidence for graphene deposition.</w:t>
      </w:r>
    </w:p>
    <w:p>
      <w:pPr>
        <w:pStyle w:val="ListBullet"/>
        <w:spacing w:after="80"/>
      </w:pPr>
      <w:r>
        <w:rPr>
          <w:sz w:val="22"/>
        </w:rPr>
        <w:t>The EDS spectrum in Figure 6b should clearly show and label the carbon Kα peak (~0.277 keV). If it is present, quantify the carbon atomic percentage.</w:t>
      </w:r>
    </w:p>
    <w:p>
      <w:pPr>
        <w:pStyle w:val="ListBullet"/>
        <w:spacing w:after="80"/>
      </w:pPr>
      <w:r>
        <w:rPr>
          <w:sz w:val="22"/>
        </w:rPr>
        <w:t>EDS has limited sensitivity for light elements. XPS of the C 1s peak (binding energy ~284.6 eV for sp² carbon) would provide more reliable and quantitative evidence of graphene versus amorphous carbon.</w:t>
      </w:r>
    </w:p>
    <w:p/>
    <w:p>
      <w:pPr>
        <w:spacing w:before="240" w:after="80"/>
      </w:pPr>
      <w:r>
        <w:rPr>
          <w:b/>
          <w:color w:val="1F497D"/>
          <w:sz w:val="28"/>
        </w:rPr>
        <w:t>3.  MINOR COMMENTS</w:t>
      </w:r>
    </w:p>
    <w:p>
      <w:pPr>
        <w:pBdr>
          <w:bottom w:val="single" w:sz="6" w:space="1" w:color="4472C4"/>
        </w:pBdr>
        <w:spacing w:after="80"/>
      </w:pPr>
    </w:p>
    <w:p>
      <w:pPr>
        <w:spacing w:after="100"/>
      </w:pPr>
      <w:r>
        <w:rPr>
          <w:b/>
          <w:color w:val="1F497D"/>
          <w:sz w:val="22"/>
        </w:rPr>
        <w:t xml:space="preserve">Abstract: </w:t>
      </w:r>
      <w:r>
        <w:rPr>
          <w:sz w:val="22"/>
        </w:rPr>
        <w:t>The EF value (6.1×10⁶) is stated without the type of EF (AEF vs SEFRS). Specify.</w:t>
      </w:r>
    </w:p>
    <w:p>
      <w:pPr>
        <w:spacing w:after="100"/>
      </w:pPr>
      <w:r>
        <w:rPr>
          <w:b/>
          <w:color w:val="1F497D"/>
          <w:sz w:val="22"/>
        </w:rPr>
        <w:t xml:space="preserve">Fig. 8 caption: </w:t>
      </w:r>
      <w:r>
        <w:rPr>
          <w:sz w:val="22"/>
        </w:rPr>
        <w:t>The caption reads “man spectra” — should be “Raman spectra.” Typographical error.</w:t>
      </w:r>
    </w:p>
    <w:p>
      <w:pPr>
        <w:spacing w:after="100"/>
      </w:pPr>
      <w:r>
        <w:rPr>
          <w:b/>
          <w:color w:val="1F497D"/>
          <w:sz w:val="22"/>
        </w:rPr>
        <w:t xml:space="preserve">Fig. 12 caption: </w:t>
      </w:r>
      <w:r>
        <w:rPr>
          <w:sz w:val="22"/>
        </w:rPr>
        <w:t>Same typo: “ration curve” should be “calibration curve.”</w:t>
      </w:r>
    </w:p>
    <w:p>
      <w:pPr>
        <w:spacing w:after="100"/>
      </w:pPr>
      <w:r>
        <w:rPr>
          <w:b/>
          <w:color w:val="1F497D"/>
          <w:sz w:val="22"/>
        </w:rPr>
        <w:t xml:space="preserve">Fig. 13c: </w:t>
      </w:r>
      <w:r>
        <w:rPr>
          <w:sz w:val="22"/>
        </w:rPr>
        <w:t>The figure compares intensities “before and after 90 days” but text says decrease &lt; 6.1%. The strongest peak at 1622 cm⁻¹ shows ~5% decrease. These two numbers should be consistent; the 6.1% figure appears to be the maximum across all peaks, and this should be stated clearly.</w:t>
      </w:r>
    </w:p>
    <w:p>
      <w:pPr>
        <w:spacing w:after="100"/>
      </w:pPr>
      <w:r>
        <w:rPr>
          <w:b/>
          <w:color w:val="1F497D"/>
          <w:sz w:val="22"/>
        </w:rPr>
        <w:t xml:space="preserve">Table 1: </w:t>
      </w:r>
      <w:r>
        <w:rPr>
          <w:sz w:val="22"/>
        </w:rPr>
        <w:t>The EF for Cu/GrO composites and core-shell graphene@Cu NPs is listed as “NA.” If EF was not reported in those works, state “Not reported” for clarity.</w:t>
      </w:r>
    </w:p>
    <w:p>
      <w:pPr>
        <w:spacing w:after="100"/>
      </w:pPr>
      <w:r>
        <w:rPr>
          <w:b/>
          <w:color w:val="1F497D"/>
          <w:sz w:val="22"/>
        </w:rPr>
        <w:t xml:space="preserve">Reference 28: </w:t>
      </w:r>
      <w:r>
        <w:rPr>
          <w:sz w:val="22"/>
        </w:rPr>
        <w:t>The reference entry for Ref. [28] appears incomplete in the reference list (missing author names). Please verify and complete this citation.</w:t>
      </w:r>
    </w:p>
    <w:p>
      <w:pPr>
        <w:spacing w:after="100"/>
      </w:pPr>
      <w:r>
        <w:rPr>
          <w:b/>
          <w:color w:val="1F497D"/>
          <w:sz w:val="22"/>
        </w:rPr>
        <w:t xml:space="preserve">Section 2: </w:t>
      </w:r>
      <w:r>
        <w:rPr>
          <w:sz w:val="22"/>
        </w:rPr>
        <w:t>The Ar/H₂ flux ratio during reduction is stated as 300/30 sccm. The total pressure and reactor geometry (tube diameter, substrate position) should be stated for reproducibility.</w:t>
      </w:r>
    </w:p>
    <w:p>
      <w:pPr>
        <w:spacing w:before="240" w:after="80"/>
      </w:pPr>
      <w:r>
        <w:rPr>
          <w:b/>
          <w:color w:val="1F497D"/>
          <w:sz w:val="28"/>
        </w:rPr>
        <w:t>4.  SUMMARY OF REQUIRED REVISIONS</w:t>
      </w:r>
    </w:p>
    <w:p>
      <w:pPr>
        <w:pBdr>
          <w:bottom w:val="single" w:sz="6" w:space="1" w:color="4472C4"/>
        </w:pBdr>
        <w:spacing w:after="8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sz w:val="20"/>
              </w:rPr>
              <w:t>Comment</w:t>
            </w:r>
          </w:p>
        </w:tc>
        <w:tc>
          <w:tcPr>
            <w:tcW w:type="dxa" w:w="3041"/>
            <w:shd w:val="clear" w:color="auto" w:fill="4472C4"/>
          </w:tcPr>
          <w:p>
            <w:r>
              <w:rPr>
                <w:b/>
                <w:color w:val="FFFFFF"/>
                <w:sz w:val="20"/>
              </w:rPr>
              <w:t>Issue</w:t>
            </w:r>
          </w:p>
        </w:tc>
        <w:tc>
          <w:tcPr>
            <w:tcW w:type="dxa" w:w="3041"/>
            <w:shd w:val="clear" w:color="auto" w:fill="4472C4"/>
          </w:tcPr>
          <w:p>
            <w:r>
              <w:rPr>
                <w:b/>
                <w:color w:val="FFFFFF"/>
                <w:sz w:val="20"/>
              </w:rPr>
              <w:t>Priority</w:t>
            </w:r>
          </w:p>
        </w:tc>
      </w:tr>
      <w:tr>
        <w:tc>
          <w:tcPr>
            <w:tcW w:type="dxa" w:w="3041"/>
            <w:shd w:val="clear" w:color="auto" w:fill="FFC7CE"/>
          </w:tcPr>
          <w:p>
            <w:r>
              <w:rPr>
                <w:sz w:val="20"/>
              </w:rPr>
              <w:t>1</w:t>
            </w:r>
          </w:p>
        </w:tc>
        <w:tc>
          <w:tcPr>
            <w:tcW w:type="dxa" w:w="3041"/>
            <w:shd w:val="clear" w:color="auto" w:fill="FFC7CE"/>
          </w:tcPr>
          <w:p>
            <w:r>
              <w:rPr>
                <w:sz w:val="20"/>
              </w:rPr>
              <w:t>EF formula incomplete — raw intensities, peak identity, and EF type missing</w:t>
            </w:r>
          </w:p>
        </w:tc>
        <w:tc>
          <w:tcPr>
            <w:tcW w:type="dxa" w:w="3041"/>
            <w:shd w:val="clear" w:color="auto" w:fill="FFC7CE"/>
          </w:tcPr>
          <w:p>
            <w:r>
              <w:rPr>
                <w:b/>
                <w:sz w:val="20"/>
              </w:rPr>
              <w:t>CRITICAL</w:t>
            </w:r>
          </w:p>
        </w:tc>
      </w:tr>
      <w:tr>
        <w:tc>
          <w:tcPr>
            <w:tcW w:type="dxa" w:w="3041"/>
            <w:shd w:val="clear" w:color="auto" w:fill="FFEB9C"/>
          </w:tcPr>
          <w:p>
            <w:r>
              <w:rPr>
                <w:sz w:val="20"/>
              </w:rPr>
              <w:t>2</w:t>
            </w:r>
          </w:p>
        </w:tc>
        <w:tc>
          <w:tcPr>
            <w:tcW w:type="dxa" w:w="3041"/>
            <w:shd w:val="clear" w:color="auto" w:fill="FFEB9C"/>
          </w:tcPr>
          <w:p>
            <w:r>
              <w:rPr>
                <w:sz w:val="20"/>
              </w:rPr>
              <w:t>FDTD model (sphere) inconsistent with nanowire substrate; |E|² vs |E|⁴ error</w:t>
            </w:r>
          </w:p>
        </w:tc>
        <w:tc>
          <w:tcPr>
            <w:tcW w:type="dxa" w:w="3041"/>
            <w:shd w:val="clear" w:color="auto" w:fill="FFEB9C"/>
          </w:tcPr>
          <w:p>
            <w:r>
              <w:rPr>
                <w:b/>
                <w:sz w:val="20"/>
              </w:rPr>
              <w:t>MAJOR</w:t>
            </w:r>
          </w:p>
        </w:tc>
      </w:tr>
      <w:tr>
        <w:tc>
          <w:tcPr>
            <w:tcW w:type="dxa" w:w="3041"/>
            <w:shd w:val="clear" w:color="auto" w:fill="FFEB9C"/>
          </w:tcPr>
          <w:p>
            <w:r>
              <w:rPr>
                <w:sz w:val="20"/>
              </w:rPr>
              <w:t>3</w:t>
            </w:r>
          </w:p>
        </w:tc>
        <w:tc>
          <w:tcPr>
            <w:tcW w:type="dxa" w:w="3041"/>
            <w:shd w:val="clear" w:color="auto" w:fill="FFEB9C"/>
          </w:tcPr>
          <w:p>
            <w:r>
              <w:rPr>
                <w:sz w:val="20"/>
              </w:rPr>
              <w:t>Graphene quality (D/G ratio) not quantified; consequences for SERS not discussed</w:t>
            </w:r>
          </w:p>
        </w:tc>
        <w:tc>
          <w:tcPr>
            <w:tcW w:type="dxa" w:w="3041"/>
            <w:shd w:val="clear" w:color="auto" w:fill="FFEB9C"/>
          </w:tcPr>
          <w:p>
            <w:r>
              <w:rPr>
                <w:b/>
                <w:sz w:val="20"/>
              </w:rPr>
              <w:t>MAJOR</w:t>
            </w:r>
          </w:p>
        </w:tc>
      </w:tr>
      <w:tr>
        <w:tc>
          <w:tcPr>
            <w:tcW w:type="dxa" w:w="3041"/>
            <w:shd w:val="clear" w:color="auto" w:fill="FFEB9C"/>
          </w:tcPr>
          <w:p>
            <w:r>
              <w:rPr>
                <w:sz w:val="20"/>
              </w:rPr>
              <w:t>4</w:t>
            </w:r>
          </w:p>
        </w:tc>
        <w:tc>
          <w:tcPr>
            <w:tcW w:type="dxa" w:w="3041"/>
            <w:shd w:val="clear" w:color="auto" w:fill="FFEB9C"/>
          </w:tcPr>
          <w:p>
            <w:r>
              <w:rPr>
                <w:sz w:val="20"/>
              </w:rPr>
              <w:t>No XPS or control experiment to confirm graphene oxidation protection mechanism</w:t>
            </w:r>
          </w:p>
        </w:tc>
        <w:tc>
          <w:tcPr>
            <w:tcW w:type="dxa" w:w="3041"/>
            <w:shd w:val="clear" w:color="auto" w:fill="FFEB9C"/>
          </w:tcPr>
          <w:p>
            <w:r>
              <w:rPr>
                <w:b/>
                <w:sz w:val="20"/>
              </w:rPr>
              <w:t>MAJOR</w:t>
            </w:r>
          </w:p>
        </w:tc>
      </w:tr>
      <w:tr>
        <w:tc>
          <w:tcPr>
            <w:tcW w:type="dxa" w:w="3041"/>
            <w:shd w:val="clear" w:color="auto" w:fill="FFEB9C"/>
          </w:tcPr>
          <w:p>
            <w:r>
              <w:rPr>
                <w:sz w:val="20"/>
              </w:rPr>
              <w:t>5</w:t>
            </w:r>
          </w:p>
        </w:tc>
        <w:tc>
          <w:tcPr>
            <w:tcW w:type="dxa" w:w="3041"/>
            <w:shd w:val="clear" w:color="auto" w:fill="FFEB9C"/>
          </w:tcPr>
          <w:p>
            <w:r>
              <w:rPr>
                <w:sz w:val="20"/>
              </w:rPr>
              <w:t>LOD formula (σ/S) not shown; must verify IUPAC compliance</w:t>
            </w:r>
          </w:p>
        </w:tc>
        <w:tc>
          <w:tcPr>
            <w:tcW w:type="dxa" w:w="3041"/>
            <w:shd w:val="clear" w:color="auto" w:fill="FFEB9C"/>
          </w:tcPr>
          <w:p>
            <w:r>
              <w:rPr>
                <w:b/>
                <w:sz w:val="20"/>
              </w:rPr>
              <w:t>MAJOR</w:t>
            </w:r>
          </w:p>
        </w:tc>
      </w:tr>
      <w:tr>
        <w:tc>
          <w:tcPr>
            <w:tcW w:type="dxa" w:w="3041"/>
            <w:shd w:val="clear" w:color="auto" w:fill="C6EFCE"/>
          </w:tcPr>
          <w:p>
            <w:r>
              <w:rPr>
                <w:sz w:val="20"/>
              </w:rPr>
              <w:t>6</w:t>
            </w:r>
          </w:p>
        </w:tc>
        <w:tc>
          <w:tcPr>
            <w:tcW w:type="dxa" w:w="3041"/>
            <w:shd w:val="clear" w:color="auto" w:fill="C6EFCE"/>
          </w:tcPr>
          <w:p>
            <w:r>
              <w:rPr>
                <w:sz w:val="20"/>
              </w:rPr>
              <w:t>Only MB tested; environmental monitoring claim is unsupported</w:t>
            </w:r>
          </w:p>
        </w:tc>
        <w:tc>
          <w:tcPr>
            <w:tcW w:type="dxa" w:w="3041"/>
            <w:shd w:val="clear" w:color="auto" w:fill="C6EFCE"/>
          </w:tcPr>
          <w:p>
            <w:r>
              <w:rPr>
                <w:b/>
                <w:sz w:val="20"/>
              </w:rPr>
              <w:t>MODERATE</w:t>
            </w:r>
          </w:p>
        </w:tc>
      </w:tr>
      <w:tr>
        <w:tc>
          <w:tcPr>
            <w:tcW w:type="dxa" w:w="3041"/>
            <w:shd w:val="clear" w:color="auto" w:fill="C6EFCE"/>
          </w:tcPr>
          <w:p>
            <w:r>
              <w:rPr>
                <w:sz w:val="20"/>
              </w:rPr>
              <w:t>7</w:t>
            </w:r>
          </w:p>
        </w:tc>
        <w:tc>
          <w:tcPr>
            <w:tcW w:type="dxa" w:w="3041"/>
            <w:shd w:val="clear" w:color="auto" w:fill="C6EFCE"/>
          </w:tcPr>
          <w:p>
            <w:r>
              <w:rPr>
                <w:sz w:val="20"/>
              </w:rPr>
              <w:t>CVD temperature range incomplete; lower temperatures not explored</w:t>
            </w:r>
          </w:p>
        </w:tc>
        <w:tc>
          <w:tcPr>
            <w:tcW w:type="dxa" w:w="3041"/>
            <w:shd w:val="clear" w:color="auto" w:fill="C6EFCE"/>
          </w:tcPr>
          <w:p>
            <w:r>
              <w:rPr>
                <w:b/>
                <w:sz w:val="20"/>
              </w:rPr>
              <w:t>MODERATE</w:t>
            </w:r>
          </w:p>
        </w:tc>
      </w:tr>
      <w:tr>
        <w:tc>
          <w:tcPr>
            <w:tcW w:type="dxa" w:w="3041"/>
            <w:shd w:val="clear" w:color="auto" w:fill="DDDDDD"/>
          </w:tcPr>
          <w:p>
            <w:r>
              <w:rPr>
                <w:sz w:val="20"/>
              </w:rPr>
              <w:t>8</w:t>
            </w:r>
          </w:p>
        </w:tc>
        <w:tc>
          <w:tcPr>
            <w:tcW w:type="dxa" w:w="3041"/>
            <w:shd w:val="clear" w:color="auto" w:fill="DDDDDD"/>
          </w:tcPr>
          <w:p>
            <w:r>
              <w:rPr>
                <w:sz w:val="20"/>
              </w:rPr>
              <w:t>Rayleigh instability: melting point depression not quantified</w:t>
            </w:r>
          </w:p>
        </w:tc>
        <w:tc>
          <w:tcPr>
            <w:tcW w:type="dxa" w:w="3041"/>
            <w:shd w:val="clear" w:color="auto" w:fill="DDDDDD"/>
          </w:tcPr>
          <w:p>
            <w:r>
              <w:rPr>
                <w:b/>
                <w:sz w:val="20"/>
              </w:rPr>
              <w:t>MINOR</w:t>
            </w:r>
          </w:p>
        </w:tc>
      </w:tr>
      <w:tr>
        <w:tc>
          <w:tcPr>
            <w:tcW w:type="dxa" w:w="3041"/>
            <w:shd w:val="clear" w:color="auto" w:fill="C6EFCE"/>
          </w:tcPr>
          <w:p>
            <w:r>
              <w:rPr>
                <w:sz w:val="20"/>
              </w:rPr>
              <w:t>9</w:t>
            </w:r>
          </w:p>
        </w:tc>
        <w:tc>
          <w:tcPr>
            <w:tcW w:type="dxa" w:w="3041"/>
            <w:shd w:val="clear" w:color="auto" w:fill="C6EFCE"/>
          </w:tcPr>
          <w:p>
            <w:r>
              <w:rPr>
                <w:sz w:val="20"/>
              </w:rPr>
              <w:t>RSD of SERS mapping not calculated</w:t>
            </w:r>
          </w:p>
        </w:tc>
        <w:tc>
          <w:tcPr>
            <w:tcW w:type="dxa" w:w="3041"/>
            <w:shd w:val="clear" w:color="auto" w:fill="C6EFCE"/>
          </w:tcPr>
          <w:p>
            <w:r>
              <w:rPr>
                <w:b/>
                <w:sz w:val="20"/>
              </w:rPr>
              <w:t>MODERATE</w:t>
            </w:r>
          </w:p>
        </w:tc>
      </w:tr>
      <w:tr>
        <w:tc>
          <w:tcPr>
            <w:tcW w:type="dxa" w:w="3041"/>
            <w:shd w:val="clear" w:color="auto" w:fill="C6EFCE"/>
          </w:tcPr>
          <w:p>
            <w:r>
              <w:rPr>
                <w:sz w:val="20"/>
              </w:rPr>
              <w:t>10</w:t>
            </w:r>
          </w:p>
        </w:tc>
        <w:tc>
          <w:tcPr>
            <w:tcW w:type="dxa" w:w="3041"/>
            <w:shd w:val="clear" w:color="auto" w:fill="C6EFCE"/>
          </w:tcPr>
          <w:p>
            <w:r>
              <w:rPr>
                <w:sz w:val="20"/>
              </w:rPr>
              <w:t>Carbon EDS/XPS confirmation of graphene deposition absent</w:t>
            </w:r>
          </w:p>
        </w:tc>
        <w:tc>
          <w:tcPr>
            <w:tcW w:type="dxa" w:w="3041"/>
            <w:shd w:val="clear" w:color="auto" w:fill="C6EFCE"/>
          </w:tcPr>
          <w:p>
            <w:r>
              <w:rPr>
                <w:b/>
                <w:sz w:val="20"/>
              </w:rPr>
              <w:t>MODERATE</w:t>
            </w:r>
          </w:p>
        </w:tc>
      </w:tr>
    </w:tbl>
    <w:p>
      <w:pPr>
        <w:spacing w:before="240" w:after="80"/>
      </w:pPr>
      <w:r>
        <w:rPr>
          <w:b/>
          <w:color w:val="1F497D"/>
          <w:sz w:val="28"/>
        </w:rPr>
        <w:t>5.  KEY REFERENCES CITED IN THIS REVIEW</w:t>
      </w:r>
    </w:p>
    <w:p>
      <w:pPr>
        <w:pBdr>
          <w:bottom w:val="single" w:sz="6" w:space="1" w:color="4472C4"/>
        </w:pBdr>
        <w:spacing w:after="80"/>
      </w:pPr>
    </w:p>
    <w:p>
      <w:pPr>
        <w:spacing w:after="80"/>
        <w:ind w:left="283"/>
      </w:pPr>
      <w:r>
        <w:rPr>
          <w:sz w:val="20"/>
        </w:rPr>
        <w:t>[R1] Le Ru, E.C. &amp; Etchegoin, P.G. Principles of Surface-Enhanced Raman Spectroscopy and Related Plasmonic Effects. Elsevier, Amsterdam, 2009. [EF definition: Eq. 4.4–4.9, pp. 185–195]</w:t>
      </w:r>
    </w:p>
    <w:p>
      <w:pPr>
        <w:spacing w:after="80"/>
        <w:ind w:left="283"/>
      </w:pPr>
      <w:r>
        <w:rPr>
          <w:sz w:val="20"/>
        </w:rPr>
        <w:t>[R2] Moskovits, M. Surface-enhanced spectroscopy. Reviews of Modern Physics 57(3), 783–826 (1985). [|E|⁴ EF scaling]</w:t>
      </w:r>
    </w:p>
    <w:p>
      <w:pPr>
        <w:spacing w:after="80"/>
        <w:ind w:left="283"/>
      </w:pPr>
      <w:r>
        <w:rPr>
          <w:sz w:val="20"/>
        </w:rPr>
        <w:t>[R3] Ling, X. et al. Charge-Transfer Mechanism in Graphene-Enhanced Raman Scattering. J. Phys. Chem. C 116, 25112–25118 (2012). [CM enhancement by graphene]</w:t>
      </w:r>
    </w:p>
    <w:p>
      <w:pPr>
        <w:spacing w:after="80"/>
        <w:ind w:left="283"/>
      </w:pPr>
      <w:r>
        <w:rPr>
          <w:sz w:val="20"/>
        </w:rPr>
        <w:t>[R4] Tuinstra, F. &amp; Koenig, J.L. Raman spectrum of graphite. J. Chem. Phys. 53, 1126 (1970). [D/G ratio and domain size formula]</w:t>
      </w:r>
    </w:p>
    <w:p>
      <w:pPr>
        <w:spacing w:after="80"/>
        <w:ind w:left="283"/>
      </w:pPr>
      <w:r>
        <w:rPr>
          <w:sz w:val="20"/>
        </w:rPr>
        <w:t>[R5] Ding, S.-Y. et al. Nanostructure-based plasmon-enhanced Raman spectroscopy for surface analysis of materials. Nature Reviews Materials 1, 16021 (2016). [Reproducibility RSD benchmark]</w:t>
      </w:r>
    </w:p>
    <w:p>
      <w:pPr>
        <w:spacing w:after="80"/>
        <w:ind w:left="283"/>
      </w:pPr>
      <w:r>
        <w:rPr>
          <w:sz w:val="20"/>
        </w:rPr>
        <w:t>[R6] Molares, M.E.T. et al. Fragmentation of nanowires driven by Rayleigh instability. Appl. Phys. Lett. 85, 5337–5339 (2004). [Rayleigh instability — already cited in manuscript as Ref. 29]</w:t>
      </w:r>
    </w:p>
    <w:p/>
    <w:p>
      <w:pPr>
        <w:pBdr>
          <w:bottom w:val="single" w:sz="6" w:space="1" w:color="4472C4"/>
        </w:pBdr>
        <w:spacing w:after="80"/>
      </w:pPr>
    </w:p>
    <w:p>
      <w:pPr>
        <w:jc w:val="center"/>
      </w:pPr>
      <w:r>
        <w:rPr>
          <w:i/>
          <w:color w:val="808080"/>
          <w:sz w:val="18"/>
        </w:rPr>
        <w:t>This review is prepared for submission to Materials Chemistry and Physics (Elsevier). All scientific comments are based on direct reading of manuscript MATCHEMPHYSD2604411.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