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A0786" w:rsidRDefault="00000000">
      <w:pPr>
        <w:snapToGrid w:val="0"/>
        <w:spacing w:line="312" w:lineRule="auto"/>
        <w:jc w:val="center"/>
      </w:pPr>
      <w:r>
        <w:rPr>
          <w:rFonts w:ascii="华文中宋" w:eastAsia="华文中宋" w:hAnsi="华文中宋" w:cs="华文中宋"/>
          <w:b/>
          <w:noProof/>
          <w:color w:val="000000"/>
          <w:sz w:val="36"/>
          <w:szCs w:val="36"/>
          <w:lang w:val="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8" type="#_x0000_t75" style="width:102.15pt;height:65.25pt;visibility:visible;mso-wrap-style:square">
            <v:imagedata r:id="rId7" o:title="" croptop="-15f" cropbottom="-15f" cropleft="-10f" cropright="-10f"/>
          </v:shape>
        </w:pict>
      </w:r>
      <w:r>
        <w:rPr>
          <w:rFonts w:ascii="华文中宋" w:eastAsia="华文中宋" w:hAnsi="华文中宋" w:cs="华文中宋" w:hint="eastAsia"/>
          <w:b/>
          <w:color w:val="000000"/>
          <w:sz w:val="36"/>
          <w:szCs w:val="36"/>
        </w:rPr>
        <w:t xml:space="preserve"> </w:t>
      </w:r>
      <w:r>
        <w:rPr>
          <w:noProof/>
          <w:lang w:val="zh-CN"/>
        </w:rPr>
        <w:pict>
          <v:shape id="图片 9" o:spid="_x0000_i1027" type="#_x0000_t75" style="width:78.15pt;height:75.1pt;visibility:visible;mso-wrap-style:square">
            <v:imagedata r:id="rId8" o:title="" croptop="-20f" cropbottom="-20f" cropleft="-20f" cropright="-20f"/>
          </v:shape>
        </w:pict>
      </w:r>
      <w:r>
        <w:rPr>
          <w:rFonts w:hint="eastAsia"/>
        </w:rPr>
        <w:t xml:space="preserve">   </w:t>
      </w:r>
      <w:r>
        <w:rPr>
          <w:rFonts w:ascii="华文中宋" w:eastAsia="华文中宋" w:hAnsi="华文中宋" w:cs="华文中宋"/>
          <w:b/>
          <w:noProof/>
          <w:color w:val="000000"/>
          <w:sz w:val="36"/>
          <w:szCs w:val="36"/>
          <w:lang w:val="zh-CN"/>
        </w:rPr>
        <w:pict>
          <v:shape id="Image2" o:spid="_x0000_i1026" type="#_x0000_t75" style="width:79.4pt;height:79.4pt;visibility:visible;mso-wrap-style:square">
            <v:imagedata r:id="rId9" o:title="" croptop="-3f" cropbottom="-3f" cropleft="-3f" cropright="-3f"/>
          </v:shape>
        </w:pict>
      </w:r>
      <w:r>
        <w:rPr>
          <w:rFonts w:ascii="华文中宋" w:eastAsia="华文中宋" w:hAnsi="华文中宋" w:cs="华文中宋" w:hint="eastAsia"/>
          <w:b/>
          <w:color w:val="000000"/>
          <w:sz w:val="36"/>
          <w:szCs w:val="36"/>
        </w:rPr>
        <w:t xml:space="preserve"> </w:t>
      </w:r>
      <w:r>
        <w:rPr>
          <w:noProof/>
          <w:lang w:val="zh-CN"/>
        </w:rPr>
        <w:pict>
          <v:shape id="Image1" o:spid="_x0000_i1025" type="#_x0000_t75" style="width:68.9pt;height:64.6pt;visibility:visible;mso-wrap-style:square">
            <v:imagedata r:id="rId10" o:title="" croptop="-10f" cropbottom="-10f" cropleft="-3f" cropright="46890f"/>
          </v:shape>
        </w:pict>
      </w:r>
      <w:r>
        <w:rPr>
          <w:rFonts w:ascii="华文中宋" w:eastAsia="华文中宋" w:hAnsi="华文中宋" w:cs="华文中宋" w:hint="eastAsia"/>
          <w:b/>
          <w:color w:val="000000"/>
          <w:sz w:val="36"/>
          <w:szCs w:val="36"/>
        </w:rPr>
        <w:t xml:space="preserve">  </w:t>
      </w:r>
    </w:p>
    <w:p w:rsidR="00EA0786" w:rsidRDefault="00EA0786">
      <w:pPr>
        <w:snapToGrid w:val="0"/>
        <w:spacing w:line="312" w:lineRule="auto"/>
        <w:jc w:val="center"/>
        <w:rPr>
          <w:rFonts w:ascii="华文中宋" w:eastAsia="华文中宋" w:hAnsi="华文中宋" w:cs="华文中宋"/>
          <w:b/>
          <w:color w:val="000000"/>
          <w:sz w:val="36"/>
          <w:szCs w:val="36"/>
        </w:rPr>
      </w:pPr>
    </w:p>
    <w:p w:rsidR="00EA0786" w:rsidRDefault="00000000">
      <w:pPr>
        <w:spacing w:line="20" w:lineRule="atLeast"/>
        <w:jc w:val="center"/>
        <w:rPr>
          <w:rFonts w:ascii="华文新魏" w:eastAsia="华文新魏" w:hAnsi="华文新魏" w:cs="宋体;SimSun"/>
          <w:b/>
          <w:bCs/>
          <w:shadow/>
          <w:sz w:val="36"/>
          <w:szCs w:val="36"/>
        </w:rPr>
      </w:pPr>
      <w:bookmarkStart w:id="0" w:name="OLE_LINK2"/>
      <w:bookmarkStart w:id="1" w:name="OLE_LINK1"/>
      <w:r>
        <w:rPr>
          <w:rFonts w:ascii="华文新魏" w:eastAsia="华文新魏" w:hAnsi="华文新魏" w:cs="宋体;SimSun" w:hint="eastAsia"/>
          <w:b/>
          <w:bCs/>
          <w:shadow/>
          <w:sz w:val="36"/>
          <w:szCs w:val="36"/>
        </w:rPr>
        <w:t>中国研究生创新实践系列大赛</w:t>
      </w:r>
    </w:p>
    <w:p w:rsidR="00EA0786" w:rsidRDefault="00000000">
      <w:pPr>
        <w:spacing w:line="20" w:lineRule="atLeast"/>
        <w:jc w:val="center"/>
        <w:rPr>
          <w:rFonts w:ascii="华文新魏" w:eastAsia="华文新魏" w:hAnsi="华文新魏" w:cs="宋体;SimSun"/>
          <w:b/>
          <w:bCs/>
          <w:shadow/>
          <w:sz w:val="44"/>
          <w:szCs w:val="44"/>
        </w:rPr>
      </w:pPr>
      <w:r>
        <w:rPr>
          <w:rFonts w:ascii="华文新魏" w:eastAsia="华文新魏" w:hAnsi="华文新魏" w:cs="宋体;SimSun" w:hint="eastAsia"/>
          <w:b/>
          <w:bCs/>
          <w:shadow/>
          <w:sz w:val="44"/>
          <w:szCs w:val="44"/>
        </w:rPr>
        <w:t xml:space="preserve"> “华为杯”</w:t>
      </w:r>
      <w:bookmarkEnd w:id="0"/>
      <w:bookmarkEnd w:id="1"/>
      <w:r>
        <w:rPr>
          <w:rFonts w:ascii="华文新魏" w:eastAsia="华文新魏" w:hAnsi="华文新魏" w:cs="宋体;SimSun" w:hint="eastAsia"/>
          <w:b/>
          <w:bCs/>
          <w:shadow/>
          <w:sz w:val="44"/>
          <w:szCs w:val="44"/>
        </w:rPr>
        <w:t>第二十三届中国研究生</w:t>
      </w:r>
    </w:p>
    <w:p w:rsidR="00EA0786" w:rsidRDefault="00000000">
      <w:pPr>
        <w:spacing w:line="20" w:lineRule="atLeast"/>
        <w:jc w:val="center"/>
        <w:rPr>
          <w:rFonts w:ascii="华文新魏" w:eastAsia="华文新魏" w:hAnsi="华文新魏" w:cs="宋体;SimSun"/>
          <w:b/>
          <w:bCs/>
          <w:shadow/>
          <w:sz w:val="44"/>
          <w:szCs w:val="44"/>
        </w:rPr>
      </w:pPr>
      <w:r>
        <w:rPr>
          <w:rFonts w:ascii="华文新魏" w:eastAsia="华文新魏" w:hAnsi="华文新魏" w:cs="宋体;SimSun" w:hint="eastAsia"/>
          <w:b/>
          <w:bCs/>
          <w:shadow/>
          <w:sz w:val="44"/>
          <w:szCs w:val="44"/>
        </w:rPr>
        <w:t>数学建模竞赛</w:t>
      </w:r>
    </w:p>
    <w:p w:rsidR="00EA0786" w:rsidRDefault="00EA0786">
      <w:pPr>
        <w:spacing w:line="20" w:lineRule="atLeast"/>
        <w:jc w:val="center"/>
        <w:rPr>
          <w:rFonts w:ascii="华文新魏" w:eastAsia="华文新魏" w:hAnsi="华文新魏" w:cs="宋体;SimSun"/>
          <w:b/>
          <w:bCs/>
          <w:shadow/>
          <w:sz w:val="44"/>
          <w:szCs w:val="44"/>
        </w:rPr>
      </w:pPr>
    </w:p>
    <w:tbl>
      <w:tblPr>
        <w:tblW w:w="8354" w:type="dxa"/>
        <w:jc w:val="center"/>
        <w:tblLayout w:type="fixed"/>
        <w:tblLook w:val="0000" w:firstRow="0" w:lastRow="0" w:firstColumn="0" w:lastColumn="0" w:noHBand="0" w:noVBand="0"/>
      </w:tblPr>
      <w:tblGrid>
        <w:gridCol w:w="1842"/>
        <w:gridCol w:w="6512"/>
      </w:tblGrid>
      <w:tr w:rsidR="00EA0786">
        <w:trPr>
          <w:trHeight w:val="1134"/>
          <w:jc w:val="center"/>
        </w:trPr>
        <w:tc>
          <w:tcPr>
            <w:tcW w:w="1842" w:type="dxa"/>
            <w:tcBorders>
              <w:bottom w:val="single" w:sz="12" w:space="0" w:color="000000"/>
            </w:tcBorders>
            <w:vAlign w:val="bottom"/>
          </w:tcPr>
          <w:p w:rsidR="00EA0786" w:rsidRDefault="00000000">
            <w:pPr>
              <w:spacing w:line="20" w:lineRule="atLeast"/>
              <w:rPr>
                <w:b/>
                <w:sz w:val="36"/>
                <w:szCs w:val="36"/>
              </w:rPr>
            </w:pPr>
            <w:r>
              <w:rPr>
                <w:rFonts w:hint="eastAsia"/>
                <w:b/>
                <w:sz w:val="36"/>
                <w:szCs w:val="36"/>
              </w:rPr>
              <w:t>学</w:t>
            </w:r>
            <w:r>
              <w:rPr>
                <w:rFonts w:hint="eastAsia"/>
                <w:b/>
                <w:sz w:val="36"/>
                <w:szCs w:val="36"/>
              </w:rPr>
              <w:t xml:space="preserve">    </w:t>
            </w:r>
            <w:r>
              <w:rPr>
                <w:rFonts w:hint="eastAsia"/>
                <w:b/>
                <w:sz w:val="36"/>
                <w:szCs w:val="36"/>
              </w:rPr>
              <w:t>校</w:t>
            </w:r>
          </w:p>
        </w:tc>
        <w:tc>
          <w:tcPr>
            <w:tcW w:w="6512" w:type="dxa"/>
            <w:tcBorders>
              <w:bottom w:val="single" w:sz="12" w:space="0" w:color="000000"/>
            </w:tcBorders>
          </w:tcPr>
          <w:p w:rsidR="00EA0786" w:rsidRDefault="00EA0786">
            <w:pPr>
              <w:snapToGrid w:val="0"/>
              <w:spacing w:line="20" w:lineRule="atLeast"/>
              <w:rPr>
                <w:b/>
                <w:sz w:val="36"/>
                <w:szCs w:val="36"/>
              </w:rPr>
            </w:pPr>
          </w:p>
          <w:p w:rsidR="00EA0786" w:rsidRDefault="00000000">
            <w:pPr>
              <w:spacing w:line="20" w:lineRule="atLeast"/>
              <w:rPr>
                <w:b/>
                <w:sz w:val="36"/>
                <w:szCs w:val="36"/>
              </w:rPr>
            </w:pPr>
            <w:r>
              <w:rPr>
                <w:rFonts w:hint="eastAsia"/>
                <w:b/>
                <w:sz w:val="36"/>
                <w:szCs w:val="36"/>
              </w:rPr>
              <w:t>浙江工商大学</w:t>
            </w:r>
          </w:p>
        </w:tc>
      </w:tr>
      <w:tr w:rsidR="00EA0786">
        <w:trPr>
          <w:trHeight w:val="1134"/>
          <w:jc w:val="center"/>
        </w:trPr>
        <w:tc>
          <w:tcPr>
            <w:tcW w:w="1842" w:type="dxa"/>
            <w:tcBorders>
              <w:top w:val="single" w:sz="12" w:space="0" w:color="000000"/>
              <w:bottom w:val="single" w:sz="12" w:space="0" w:color="000000"/>
            </w:tcBorders>
            <w:vAlign w:val="bottom"/>
          </w:tcPr>
          <w:p w:rsidR="00EA0786" w:rsidRDefault="00000000">
            <w:pPr>
              <w:spacing w:line="20" w:lineRule="atLeast"/>
              <w:jc w:val="center"/>
              <w:rPr>
                <w:b/>
                <w:sz w:val="36"/>
                <w:szCs w:val="36"/>
              </w:rPr>
            </w:pPr>
            <w:r>
              <w:rPr>
                <w:rFonts w:hint="eastAsia"/>
                <w:b/>
                <w:sz w:val="36"/>
                <w:szCs w:val="36"/>
              </w:rPr>
              <w:t>参赛队号</w:t>
            </w:r>
            <w:r>
              <w:rPr>
                <w:rFonts w:hint="eastAsia"/>
                <w:b/>
                <w:sz w:val="36"/>
                <w:szCs w:val="36"/>
              </w:rPr>
              <w:t xml:space="preserve"> </w:t>
            </w:r>
          </w:p>
        </w:tc>
        <w:tc>
          <w:tcPr>
            <w:tcW w:w="6512" w:type="dxa"/>
            <w:tcBorders>
              <w:top w:val="single" w:sz="12" w:space="0" w:color="000000"/>
              <w:bottom w:val="single" w:sz="12" w:space="0" w:color="000000"/>
            </w:tcBorders>
          </w:tcPr>
          <w:p w:rsidR="00EA0786" w:rsidRDefault="00EA0786">
            <w:pPr>
              <w:snapToGrid w:val="0"/>
              <w:spacing w:line="20" w:lineRule="atLeast"/>
              <w:rPr>
                <w:b/>
                <w:sz w:val="36"/>
                <w:szCs w:val="36"/>
              </w:rPr>
            </w:pPr>
          </w:p>
          <w:p w:rsidR="00EA0786" w:rsidRDefault="00000000">
            <w:pPr>
              <w:spacing w:line="20" w:lineRule="atLeast"/>
              <w:rPr>
                <w:b/>
                <w:sz w:val="36"/>
                <w:szCs w:val="36"/>
              </w:rPr>
            </w:pPr>
            <w:r>
              <w:rPr>
                <w:b/>
                <w:sz w:val="36"/>
                <w:szCs w:val="36"/>
              </w:rPr>
              <w:t>26103530179</w:t>
            </w:r>
          </w:p>
        </w:tc>
      </w:tr>
      <w:tr w:rsidR="00EA0786">
        <w:trPr>
          <w:trHeight w:val="625"/>
          <w:jc w:val="center"/>
        </w:trPr>
        <w:tc>
          <w:tcPr>
            <w:tcW w:w="1842" w:type="dxa"/>
            <w:vMerge w:val="restart"/>
            <w:tcBorders>
              <w:top w:val="single" w:sz="12" w:space="0" w:color="000000"/>
            </w:tcBorders>
            <w:vAlign w:val="center"/>
          </w:tcPr>
          <w:p w:rsidR="00EA0786" w:rsidRDefault="00000000">
            <w:pPr>
              <w:spacing w:line="20" w:lineRule="atLeast"/>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rsidR="00EA0786" w:rsidRDefault="00000000">
            <w:pPr>
              <w:spacing w:line="20" w:lineRule="atLeast"/>
              <w:rPr>
                <w:b/>
                <w:sz w:val="36"/>
                <w:szCs w:val="36"/>
              </w:rPr>
            </w:pPr>
            <w:r>
              <w:rPr>
                <w:rFonts w:hint="eastAsia"/>
                <w:b/>
                <w:sz w:val="36"/>
                <w:szCs w:val="36"/>
              </w:rPr>
              <w:t>1.</w:t>
            </w:r>
            <w:r>
              <w:rPr>
                <w:rFonts w:hint="eastAsia"/>
                <w:b/>
                <w:sz w:val="36"/>
                <w:szCs w:val="36"/>
              </w:rPr>
              <w:t>张桦彬</w:t>
            </w:r>
          </w:p>
        </w:tc>
      </w:tr>
      <w:tr w:rsidR="00EA0786">
        <w:trPr>
          <w:trHeight w:val="625"/>
          <w:jc w:val="center"/>
        </w:trPr>
        <w:tc>
          <w:tcPr>
            <w:tcW w:w="1842" w:type="dxa"/>
            <w:vMerge/>
            <w:tcBorders>
              <w:top w:val="single" w:sz="12" w:space="0" w:color="000000"/>
            </w:tcBorders>
            <w:vAlign w:val="center"/>
          </w:tcPr>
          <w:p w:rsidR="00EA0786" w:rsidRDefault="00EA0786">
            <w:pPr>
              <w:snapToGrid w:val="0"/>
              <w:spacing w:line="20" w:lineRule="atLeast"/>
              <w:jc w:val="center"/>
              <w:rPr>
                <w:b/>
                <w:sz w:val="36"/>
                <w:szCs w:val="36"/>
              </w:rPr>
            </w:pPr>
          </w:p>
        </w:tc>
        <w:tc>
          <w:tcPr>
            <w:tcW w:w="6512" w:type="dxa"/>
            <w:tcBorders>
              <w:top w:val="single" w:sz="8" w:space="0" w:color="000000"/>
              <w:bottom w:val="single" w:sz="8" w:space="0" w:color="000000"/>
            </w:tcBorders>
          </w:tcPr>
          <w:p w:rsidR="00EA0786" w:rsidRDefault="00000000">
            <w:pPr>
              <w:spacing w:line="20" w:lineRule="atLeast"/>
              <w:rPr>
                <w:b/>
                <w:sz w:val="36"/>
                <w:szCs w:val="36"/>
              </w:rPr>
            </w:pPr>
            <w:r>
              <w:rPr>
                <w:rFonts w:hint="eastAsia"/>
                <w:b/>
                <w:sz w:val="36"/>
                <w:szCs w:val="36"/>
              </w:rPr>
              <w:t>2.</w:t>
            </w:r>
            <w:r>
              <w:rPr>
                <w:rFonts w:hint="eastAsia"/>
                <w:b/>
                <w:sz w:val="36"/>
                <w:szCs w:val="36"/>
              </w:rPr>
              <w:t>李卓梁</w:t>
            </w:r>
          </w:p>
        </w:tc>
      </w:tr>
      <w:tr w:rsidR="00EA0786">
        <w:trPr>
          <w:trHeight w:val="625"/>
          <w:jc w:val="center"/>
        </w:trPr>
        <w:tc>
          <w:tcPr>
            <w:tcW w:w="1842" w:type="dxa"/>
            <w:vMerge/>
            <w:tcBorders>
              <w:top w:val="single" w:sz="12" w:space="0" w:color="000000"/>
            </w:tcBorders>
            <w:vAlign w:val="center"/>
          </w:tcPr>
          <w:p w:rsidR="00EA0786" w:rsidRDefault="00EA0786">
            <w:pPr>
              <w:snapToGrid w:val="0"/>
              <w:spacing w:line="20" w:lineRule="atLeast"/>
              <w:jc w:val="center"/>
              <w:rPr>
                <w:b/>
                <w:sz w:val="36"/>
                <w:szCs w:val="36"/>
              </w:rPr>
            </w:pPr>
          </w:p>
        </w:tc>
        <w:tc>
          <w:tcPr>
            <w:tcW w:w="6512" w:type="dxa"/>
            <w:tcBorders>
              <w:top w:val="single" w:sz="8" w:space="0" w:color="000000"/>
              <w:bottom w:val="single" w:sz="12" w:space="0" w:color="000000"/>
            </w:tcBorders>
          </w:tcPr>
          <w:p w:rsidR="00EA0786" w:rsidRDefault="00000000">
            <w:pPr>
              <w:spacing w:line="20" w:lineRule="atLeast"/>
              <w:rPr>
                <w:b/>
                <w:sz w:val="36"/>
                <w:szCs w:val="36"/>
              </w:rPr>
            </w:pPr>
            <w:r>
              <w:rPr>
                <w:rFonts w:hint="eastAsia"/>
                <w:b/>
                <w:sz w:val="36"/>
                <w:szCs w:val="36"/>
              </w:rPr>
              <w:t>3.</w:t>
            </w:r>
            <w:r>
              <w:rPr>
                <w:rFonts w:hint="eastAsia"/>
                <w:b/>
                <w:sz w:val="36"/>
                <w:szCs w:val="36"/>
              </w:rPr>
              <w:t>朱舒昱</w:t>
            </w:r>
          </w:p>
        </w:tc>
      </w:tr>
    </w:tbl>
    <w:p w:rsidR="00EA0786" w:rsidRDefault="00EA0786">
      <w:pPr>
        <w:snapToGrid w:val="0"/>
        <w:spacing w:line="312" w:lineRule="auto"/>
        <w:ind w:firstLine="420"/>
        <w:textAlignment w:val="baseline"/>
        <w:rPr>
          <w:rFonts w:ascii="仿宋_GB2312;微软雅黑" w:eastAsia="仿宋_GB2312;微软雅黑" w:hAnsi="仿宋_GB2312;微软雅黑" w:cs="宋体;SimSun"/>
          <w:color w:val="333333"/>
          <w:kern w:val="0"/>
          <w:sz w:val="32"/>
          <w:szCs w:val="32"/>
        </w:rPr>
      </w:pPr>
    </w:p>
    <w:p w:rsidR="00EA0786" w:rsidRDefault="00EA0786">
      <w:pPr>
        <w:snapToGrid w:val="0"/>
        <w:spacing w:line="312" w:lineRule="auto"/>
        <w:ind w:firstLine="420"/>
        <w:textAlignment w:val="baseline"/>
        <w:rPr>
          <w:rFonts w:ascii="仿宋_GB2312;微软雅黑" w:eastAsia="仿宋_GB2312;微软雅黑" w:hAnsi="仿宋_GB2312;微软雅黑" w:cs="宋体;SimSun"/>
          <w:color w:val="333333"/>
          <w:kern w:val="0"/>
          <w:sz w:val="32"/>
          <w:szCs w:val="32"/>
        </w:rPr>
      </w:pPr>
    </w:p>
    <w:p w:rsidR="00EA0786" w:rsidRDefault="00EA0786">
      <w:pPr>
        <w:snapToGrid w:val="0"/>
        <w:spacing w:line="312" w:lineRule="auto"/>
        <w:ind w:firstLine="420"/>
        <w:textAlignment w:val="baseline"/>
        <w:rPr>
          <w:rFonts w:ascii="仿宋_GB2312;微软雅黑" w:eastAsia="仿宋_GB2312;微软雅黑" w:hAnsi="仿宋_GB2312;微软雅黑" w:cs="宋体;SimSun"/>
          <w:color w:val="333333"/>
          <w:kern w:val="0"/>
          <w:sz w:val="32"/>
          <w:szCs w:val="32"/>
        </w:rPr>
      </w:pPr>
    </w:p>
    <w:p w:rsidR="00EA0786" w:rsidRDefault="00EA0786">
      <w:pPr>
        <w:snapToGrid w:val="0"/>
        <w:spacing w:line="312" w:lineRule="auto"/>
        <w:ind w:firstLine="420"/>
        <w:textAlignment w:val="baseline"/>
        <w:rPr>
          <w:rFonts w:ascii="仿宋_GB2312;微软雅黑" w:eastAsia="仿宋_GB2312;微软雅黑" w:hAnsi="仿宋_GB2312;微软雅黑" w:cs="宋体;SimSun"/>
          <w:color w:val="333333"/>
          <w:kern w:val="0"/>
          <w:sz w:val="32"/>
          <w:szCs w:val="32"/>
        </w:rPr>
      </w:pPr>
    </w:p>
    <w:p w:rsidR="00EA0786" w:rsidRDefault="00EA0786">
      <w:pPr>
        <w:snapToGrid w:val="0"/>
        <w:spacing w:line="312" w:lineRule="auto"/>
        <w:ind w:firstLine="420"/>
        <w:textAlignment w:val="baseline"/>
        <w:rPr>
          <w:rFonts w:ascii="仿宋_GB2312;微软雅黑" w:eastAsia="仿宋_GB2312;微软雅黑" w:hAnsi="仿宋_GB2312;微软雅黑" w:cs="宋体;SimSun"/>
          <w:color w:val="333333"/>
          <w:kern w:val="0"/>
          <w:sz w:val="32"/>
          <w:szCs w:val="32"/>
        </w:rPr>
      </w:pPr>
    </w:p>
    <w:p w:rsidR="00EA0786" w:rsidRDefault="00EA0786">
      <w:pPr>
        <w:spacing w:line="20" w:lineRule="atLeast"/>
        <w:rPr>
          <w:rFonts w:ascii="隶书;微软雅黑" w:eastAsia="隶书;微软雅黑" w:hAnsi="隶书;微软雅黑" w:cs="宋体;SimSun"/>
          <w:color w:val="333333"/>
          <w:kern w:val="0"/>
          <w:sz w:val="36"/>
          <w:szCs w:val="32"/>
        </w:rPr>
      </w:pPr>
    </w:p>
    <w:p w:rsidR="009B4995" w:rsidRDefault="009B4995">
      <w:pPr>
        <w:spacing w:line="20" w:lineRule="atLeast"/>
        <w:rPr>
          <w:rFonts w:ascii="隶书;微软雅黑" w:eastAsia="隶书;微软雅黑" w:hAnsi="隶书;微软雅黑" w:cs="宋体;SimSun"/>
          <w:color w:val="333333"/>
          <w:kern w:val="0"/>
          <w:sz w:val="36"/>
          <w:szCs w:val="32"/>
        </w:rPr>
      </w:pPr>
    </w:p>
    <w:p w:rsidR="009B4995" w:rsidRDefault="009B4995">
      <w:pPr>
        <w:spacing w:line="20" w:lineRule="atLeast"/>
        <w:rPr>
          <w:rFonts w:ascii="隶书;微软雅黑" w:eastAsia="隶书;微软雅黑" w:hAnsi="隶书;微软雅黑" w:cs="宋体;SimSun" w:hint="eastAsia"/>
          <w:color w:val="333333"/>
          <w:kern w:val="0"/>
          <w:sz w:val="36"/>
          <w:szCs w:val="32"/>
        </w:rPr>
      </w:pPr>
    </w:p>
    <w:p w:rsidR="00EA0786" w:rsidRDefault="00000000" w:rsidP="009B4995">
      <w:pPr>
        <w:jc w:val="center"/>
        <w:rPr>
          <w:rFonts w:ascii="华文新魏" w:eastAsia="华文新魏" w:hAnsi="华文新魏" w:cs="宋体;SimSun"/>
          <w:b/>
          <w:bCs/>
          <w:sz w:val="36"/>
          <w:szCs w:val="36"/>
        </w:rPr>
      </w:pPr>
      <w:r>
        <w:rPr>
          <w:rFonts w:ascii="华文新魏" w:eastAsia="华文新魏" w:hAnsi="华文新魏" w:cs="宋体;SimSun" w:hint="eastAsia"/>
          <w:b/>
          <w:bCs/>
          <w:sz w:val="36"/>
          <w:szCs w:val="36"/>
        </w:rPr>
        <w:lastRenderedPageBreak/>
        <w:t>中国研究生创新实践系列大赛</w:t>
      </w:r>
    </w:p>
    <w:p w:rsidR="00EA0786" w:rsidRDefault="00000000" w:rsidP="009B4995">
      <w:pPr>
        <w:jc w:val="center"/>
        <w:rPr>
          <w:rFonts w:ascii="华文新魏" w:eastAsia="华文新魏" w:hAnsi="华文新魏" w:cs="宋体;SimSun"/>
          <w:b/>
          <w:bCs/>
          <w:sz w:val="44"/>
          <w:szCs w:val="44"/>
        </w:rPr>
      </w:pPr>
      <w:r>
        <w:rPr>
          <w:rFonts w:ascii="华文新魏" w:eastAsia="华文新魏" w:hAnsi="华文新魏" w:cs="宋体;SimSun" w:hint="eastAsia"/>
          <w:b/>
          <w:bCs/>
          <w:sz w:val="44"/>
          <w:szCs w:val="44"/>
        </w:rPr>
        <w:t xml:space="preserve"> “华为杯”第二十三届中国研究生</w:t>
      </w:r>
    </w:p>
    <w:p w:rsidR="00EA0786" w:rsidRDefault="00000000" w:rsidP="009B4995">
      <w:pPr>
        <w:jc w:val="center"/>
        <w:rPr>
          <w:rFonts w:ascii="华文新魏" w:eastAsia="华文新魏" w:hAnsi="华文新魏" w:cs="宋体;SimSun"/>
          <w:b/>
          <w:bCs/>
          <w:sz w:val="44"/>
          <w:szCs w:val="44"/>
        </w:rPr>
      </w:pPr>
      <w:r>
        <w:rPr>
          <w:rFonts w:ascii="华文新魏" w:eastAsia="华文新魏" w:hAnsi="华文新魏" w:cs="宋体;SimSun" w:hint="eastAsia"/>
          <w:b/>
          <w:bCs/>
          <w:sz w:val="44"/>
          <w:szCs w:val="44"/>
        </w:rPr>
        <w:t>数学建模竞赛</w:t>
      </w:r>
    </w:p>
    <w:p w:rsidR="00EA0786" w:rsidRDefault="00000000" w:rsidP="009B4995">
      <w:pPr>
        <w:spacing w:after="300"/>
        <w:jc w:val="center"/>
      </w:pPr>
      <w:r>
        <w:rPr>
          <w:rFonts w:eastAsia="黑体"/>
          <w:color w:val="000000"/>
          <w:sz w:val="32"/>
          <w:szCs w:val="32"/>
        </w:rPr>
        <w:t>题　目：</w:t>
      </w:r>
      <w:r>
        <w:rPr>
          <w:rFonts w:eastAsia="黑体"/>
          <w:color w:val="000000"/>
          <w:sz w:val="32"/>
          <w:szCs w:val="32"/>
          <w:u w:val="single"/>
        </w:rPr>
        <w:t>算力约束下提升大语言模型能力的资源配置建模</w:t>
      </w:r>
    </w:p>
    <w:p w:rsidR="00EA0786" w:rsidRDefault="00000000" w:rsidP="009B4995">
      <w:pPr>
        <w:pStyle w:val="afe"/>
        <w:widowControl w:val="0"/>
        <w:spacing w:after="180" w:line="240" w:lineRule="auto"/>
        <w:jc w:val="center"/>
        <w:rPr>
          <w:b w:val="0"/>
          <w:bCs/>
        </w:rPr>
      </w:pPr>
      <w:r>
        <w:rPr>
          <w:rFonts w:ascii="Times New Roman" w:eastAsia="黑体" w:hAnsi="Times New Roman" w:cs="Times New Roman"/>
          <w:b w:val="0"/>
          <w:color w:val="000000"/>
          <w:sz w:val="28"/>
          <w:szCs w:val="28"/>
        </w:rPr>
        <w:t>摘　要</w:t>
      </w:r>
    </w:p>
    <w:p w:rsidR="00EA0786" w:rsidRDefault="00000000">
      <w:pPr>
        <w:widowControl/>
        <w:snapToGrid w:val="0"/>
        <w:spacing w:after="90" w:line="300" w:lineRule="exact"/>
        <w:ind w:firstLine="480"/>
      </w:pPr>
      <w:r>
        <w:rPr>
          <w:rFonts w:eastAsia="宋体"/>
          <w:color w:val="000000"/>
          <w:sz w:val="24"/>
          <w:szCs w:val="24"/>
        </w:rPr>
        <w:t>在总算力受限条件下，模型规模、数据数量与质量及上下文长度共同影响大语言模型的训练损失与能力。本文围绕数据质量评价、广义标度律、资源配置和能力前沿构建递进模型，区分附件统计、参数估计与条件情景，分析各类投入的收益及适用边界。</w:t>
      </w:r>
    </w:p>
    <w:p w:rsidR="00EA0786" w:rsidRDefault="00000000">
      <w:pPr>
        <w:widowControl/>
        <w:snapToGrid w:val="0"/>
        <w:spacing w:after="90" w:line="300" w:lineRule="exact"/>
        <w:ind w:firstLine="480"/>
      </w:pPr>
      <w:r>
        <w:rPr>
          <w:rFonts w:eastAsia="宋体"/>
          <w:color w:val="000000"/>
          <w:sz w:val="24"/>
          <w:szCs w:val="24"/>
        </w:rPr>
        <w:t>针对问题一，对</w:t>
      </w:r>
      <w:r>
        <w:rPr>
          <w:rFonts w:eastAsia="宋体"/>
          <w:color w:val="000000"/>
          <w:sz w:val="24"/>
          <w:szCs w:val="24"/>
        </w:rPr>
        <w:t>22</w:t>
      </w:r>
      <w:r>
        <w:rPr>
          <w:rFonts w:eastAsia="宋体"/>
          <w:color w:val="000000"/>
          <w:sz w:val="24"/>
          <w:szCs w:val="24"/>
        </w:rPr>
        <w:t>项指标进行语义解码，采用</w:t>
      </w:r>
      <w:r>
        <w:rPr>
          <w:rFonts w:eastAsia="宋体"/>
          <w:color w:val="000000"/>
          <w:sz w:val="24"/>
          <w:szCs w:val="24"/>
        </w:rPr>
        <w:t>A1</w:t>
      </w:r>
      <w:r>
        <w:rPr>
          <w:rFonts w:eastAsia="宋体"/>
          <w:color w:val="000000"/>
          <w:sz w:val="24"/>
          <w:szCs w:val="24"/>
        </w:rPr>
        <w:t>固定经验分位归一化与三组平衡赋权，建立可复算的质量评分。七域质量中位数为</w:t>
      </w:r>
      <w:r>
        <w:rPr>
          <w:rFonts w:eastAsia="宋体"/>
          <w:color w:val="000000"/>
          <w:sz w:val="24"/>
          <w:szCs w:val="24"/>
        </w:rPr>
        <w:t>0.487876</w:t>
      </w:r>
      <w:r>
        <w:rPr>
          <w:rFonts w:eastAsia="宋体"/>
          <w:color w:val="000000"/>
          <w:sz w:val="24"/>
          <w:szCs w:val="24"/>
        </w:rPr>
        <w:t>；按高教育价值与广告判定冲突的规则，总冲突率为</w:t>
      </w:r>
      <w:r>
        <w:rPr>
          <w:rFonts w:eastAsia="宋体"/>
          <w:color w:val="000000"/>
          <w:sz w:val="24"/>
          <w:szCs w:val="24"/>
        </w:rPr>
        <w:t>0.303%</w:t>
      </w:r>
      <w:r>
        <w:rPr>
          <w:rFonts w:eastAsia="宋体"/>
          <w:color w:val="000000"/>
          <w:sz w:val="24"/>
          <w:szCs w:val="24"/>
        </w:rPr>
        <w:t>，</w:t>
      </w:r>
      <w:r>
        <w:rPr>
          <w:rFonts w:eastAsia="宋体"/>
          <w:color w:val="000000"/>
          <w:sz w:val="24"/>
          <w:szCs w:val="24"/>
        </w:rPr>
        <w:t>C4</w:t>
      </w:r>
      <w:r>
        <w:rPr>
          <w:rFonts w:eastAsia="宋体"/>
          <w:color w:val="000000"/>
          <w:sz w:val="24"/>
          <w:szCs w:val="24"/>
        </w:rPr>
        <w:t>域内冲突率最高，为</w:t>
      </w:r>
      <w:r>
        <w:rPr>
          <w:rFonts w:eastAsia="宋体"/>
          <w:color w:val="000000"/>
          <w:sz w:val="24"/>
          <w:szCs w:val="24"/>
        </w:rPr>
        <w:t>1.03%</w:t>
      </w:r>
      <w:r>
        <w:rPr>
          <w:rFonts w:eastAsia="宋体"/>
          <w:color w:val="000000"/>
          <w:sz w:val="24"/>
          <w:szCs w:val="24"/>
        </w:rPr>
        <w:t>。权重敏感性分析揭示域排序对评分假设的依赖，配比回归的跨尺度预测仍有局限。</w:t>
      </w:r>
    </w:p>
    <w:p w:rsidR="00EA0786" w:rsidRDefault="00000000">
      <w:pPr>
        <w:widowControl/>
        <w:snapToGrid w:val="0"/>
        <w:spacing w:after="90" w:line="300" w:lineRule="exact"/>
        <w:ind w:firstLine="480"/>
      </w:pPr>
      <w:r>
        <w:rPr>
          <w:rFonts w:eastAsia="宋体"/>
          <w:color w:val="000000"/>
          <w:sz w:val="24"/>
          <w:szCs w:val="24"/>
        </w:rPr>
        <w:t>针对问题二，采用</w:t>
      </w:r>
      <w:r w:rsidRPr="008A5361">
        <w:rPr>
          <w:rFonts w:eastAsia="宋体"/>
          <w:b/>
          <w:bCs/>
          <w:color w:val="000000"/>
          <w:sz w:val="24"/>
          <w:szCs w:val="24"/>
        </w:rPr>
        <w:t>Huber</w:t>
      </w:r>
      <w:r>
        <w:rPr>
          <w:rFonts w:eastAsia="宋体"/>
          <w:color w:val="000000"/>
          <w:sz w:val="24"/>
          <w:szCs w:val="24"/>
        </w:rPr>
        <w:t>稳健损失与多起点拟合估计经典标度律，并以质量加权的有效数据量扩展广义模型，推导弹性及等损失替代关系。在相同设置分组留出下，含质量模型的均方根误差为</w:t>
      </w:r>
      <w:r>
        <w:rPr>
          <w:rFonts w:eastAsia="宋体"/>
          <w:color w:val="000000"/>
          <w:sz w:val="24"/>
          <w:szCs w:val="24"/>
        </w:rPr>
        <w:t>0.675</w:t>
      </w:r>
      <w:r>
        <w:rPr>
          <w:rFonts w:eastAsia="宋体"/>
          <w:color w:val="000000"/>
          <w:sz w:val="24"/>
          <w:szCs w:val="24"/>
        </w:rPr>
        <w:t>，低于无质量基线的</w:t>
      </w:r>
      <w:r>
        <w:rPr>
          <w:rFonts w:eastAsia="宋体"/>
          <w:color w:val="000000"/>
          <w:sz w:val="24"/>
          <w:szCs w:val="24"/>
        </w:rPr>
        <w:t>0.784</w:t>
      </w:r>
      <w:r>
        <w:rPr>
          <w:rFonts w:eastAsia="宋体"/>
          <w:color w:val="000000"/>
          <w:sz w:val="24"/>
          <w:szCs w:val="24"/>
        </w:rPr>
        <w:t>，但改善主要来自</w:t>
      </w:r>
      <w:r>
        <w:rPr>
          <w:rFonts w:eastAsia="宋体"/>
          <w:color w:val="000000"/>
          <w:sz w:val="24"/>
          <w:szCs w:val="24"/>
        </w:rPr>
        <w:t>B8</w:t>
      </w:r>
      <w:r>
        <w:rPr>
          <w:rFonts w:eastAsia="宋体"/>
          <w:color w:val="000000"/>
          <w:sz w:val="24"/>
          <w:szCs w:val="24"/>
        </w:rPr>
        <w:t>。鉴于质量标度尚未统一校准，下游将质量指数</w:t>
      </w:r>
      <w:r>
        <w:rPr>
          <w:rFonts w:eastAsia="宋体"/>
          <w:color w:val="000000"/>
          <w:sz w:val="24"/>
          <w:szCs w:val="24"/>
        </w:rPr>
        <w:t>0.5</w:t>
      </w:r>
      <w:r>
        <w:rPr>
          <w:rFonts w:eastAsia="宋体"/>
          <w:color w:val="000000"/>
          <w:sz w:val="24"/>
          <w:szCs w:val="24"/>
        </w:rPr>
        <w:t>作为结构性假设并开展敏感性分析。</w:t>
      </w:r>
    </w:p>
    <w:p w:rsidR="00EA0786" w:rsidRDefault="00000000">
      <w:pPr>
        <w:widowControl/>
        <w:snapToGrid w:val="0"/>
        <w:spacing w:after="90" w:line="300" w:lineRule="exact"/>
        <w:ind w:firstLine="480"/>
      </w:pPr>
      <w:r>
        <w:rPr>
          <w:rFonts w:eastAsia="宋体"/>
          <w:color w:val="000000"/>
          <w:sz w:val="24"/>
          <w:szCs w:val="24"/>
        </w:rPr>
        <w:t>针对问题三，将基础训练、质量提升与注意力开销纳入统一预算，结合</w:t>
      </w:r>
      <w:r w:rsidRPr="008A5361">
        <w:rPr>
          <w:rFonts w:eastAsia="宋体"/>
          <w:b/>
          <w:bCs/>
          <w:color w:val="000000"/>
          <w:sz w:val="24"/>
          <w:szCs w:val="24"/>
        </w:rPr>
        <w:t>KKT</w:t>
      </w:r>
      <w:r>
        <w:rPr>
          <w:rFonts w:eastAsia="宋体"/>
          <w:color w:val="000000"/>
          <w:sz w:val="24"/>
          <w:szCs w:val="24"/>
        </w:rPr>
        <w:t>条件、预算消元与质量剖面搜索求解，并用独立</w:t>
      </w:r>
      <w:r w:rsidRPr="008A5361">
        <w:rPr>
          <w:rFonts w:eastAsia="宋体"/>
          <w:b/>
          <w:bCs/>
          <w:color w:val="000000"/>
          <w:sz w:val="24"/>
          <w:szCs w:val="24"/>
        </w:rPr>
        <w:t>SLSQP</w:t>
      </w:r>
      <w:r>
        <w:rPr>
          <w:rFonts w:eastAsia="宋体"/>
          <w:color w:val="000000"/>
          <w:sz w:val="24"/>
          <w:szCs w:val="24"/>
        </w:rPr>
        <w:t>核验。在指数型质量成本下，预算为</w:t>
      </w:r>
      <w:r>
        <w:rPr>
          <w:rFonts w:eastAsia="宋体"/>
          <w:color w:val="000000"/>
          <w:sz w:val="24"/>
          <w:szCs w:val="24"/>
        </w:rPr>
        <w:t>10¹⁹</w:t>
      </w:r>
      <w:r>
        <w:rPr>
          <w:rFonts w:eastAsia="宋体"/>
          <w:color w:val="000000"/>
          <w:sz w:val="24"/>
          <w:szCs w:val="24"/>
        </w:rPr>
        <w:t>、</w:t>
      </w:r>
      <w:r>
        <w:rPr>
          <w:rFonts w:eastAsia="宋体"/>
          <w:color w:val="000000"/>
          <w:sz w:val="24"/>
          <w:szCs w:val="24"/>
        </w:rPr>
        <w:t>10²²</w:t>
      </w:r>
      <w:r>
        <w:rPr>
          <w:rFonts w:eastAsia="宋体"/>
          <w:color w:val="000000"/>
          <w:sz w:val="24"/>
          <w:szCs w:val="24"/>
        </w:rPr>
        <w:t>、</w:t>
      </w:r>
      <w:r>
        <w:rPr>
          <w:rFonts w:eastAsia="宋体"/>
          <w:color w:val="000000"/>
          <w:sz w:val="24"/>
          <w:szCs w:val="24"/>
        </w:rPr>
        <w:t>10²⁴ FLOPs</w:t>
      </w:r>
      <w:r>
        <w:rPr>
          <w:rFonts w:eastAsia="宋体"/>
          <w:color w:val="000000"/>
          <w:sz w:val="24"/>
          <w:szCs w:val="24"/>
        </w:rPr>
        <w:t>时，候选质量分别为</w:t>
      </w:r>
      <w:r>
        <w:rPr>
          <w:rFonts w:eastAsia="宋体"/>
          <w:color w:val="000000"/>
          <w:sz w:val="24"/>
          <w:szCs w:val="24"/>
        </w:rPr>
        <w:t>0.506</w:t>
      </w:r>
      <w:r>
        <w:rPr>
          <w:rFonts w:eastAsia="宋体"/>
          <w:color w:val="000000"/>
          <w:sz w:val="24"/>
          <w:szCs w:val="24"/>
        </w:rPr>
        <w:t>、</w:t>
      </w:r>
      <w:r>
        <w:rPr>
          <w:rFonts w:eastAsia="宋体"/>
          <w:color w:val="000000"/>
          <w:sz w:val="24"/>
          <w:szCs w:val="24"/>
        </w:rPr>
        <w:t>0.967</w:t>
      </w:r>
      <w:r>
        <w:rPr>
          <w:rFonts w:eastAsia="宋体"/>
          <w:color w:val="000000"/>
          <w:sz w:val="24"/>
          <w:szCs w:val="24"/>
        </w:rPr>
        <w:t>、</w:t>
      </w:r>
      <w:r>
        <w:rPr>
          <w:rFonts w:eastAsia="宋体"/>
          <w:color w:val="000000"/>
          <w:sz w:val="24"/>
          <w:szCs w:val="24"/>
        </w:rPr>
        <w:t>1.000</w:t>
      </w:r>
      <w:r>
        <w:rPr>
          <w:rFonts w:eastAsia="宋体"/>
          <w:color w:val="000000"/>
          <w:sz w:val="24"/>
          <w:szCs w:val="24"/>
        </w:rPr>
        <w:t>，损失分别为</w:t>
      </w:r>
      <w:r>
        <w:rPr>
          <w:rFonts w:eastAsia="宋体"/>
          <w:color w:val="000000"/>
          <w:sz w:val="24"/>
          <w:szCs w:val="24"/>
        </w:rPr>
        <w:t>3.073</w:t>
      </w:r>
      <w:r>
        <w:rPr>
          <w:rFonts w:eastAsia="宋体"/>
          <w:color w:val="000000"/>
          <w:sz w:val="24"/>
          <w:szCs w:val="24"/>
        </w:rPr>
        <w:t>、</w:t>
      </w:r>
      <w:r>
        <w:rPr>
          <w:rFonts w:eastAsia="宋体"/>
          <w:color w:val="000000"/>
          <w:sz w:val="24"/>
          <w:szCs w:val="24"/>
        </w:rPr>
        <w:t>2.151</w:t>
      </w:r>
      <w:r>
        <w:rPr>
          <w:rFonts w:eastAsia="宋体"/>
          <w:color w:val="000000"/>
          <w:sz w:val="24"/>
          <w:szCs w:val="24"/>
        </w:rPr>
        <w:t>、</w:t>
      </w:r>
      <w:r>
        <w:rPr>
          <w:rFonts w:eastAsia="宋体"/>
          <w:color w:val="000000"/>
          <w:sz w:val="24"/>
          <w:szCs w:val="24"/>
        </w:rPr>
        <w:t>1.914</w:t>
      </w:r>
      <w:r>
        <w:rPr>
          <w:rFonts w:eastAsia="宋体"/>
          <w:color w:val="000000"/>
          <w:sz w:val="24"/>
          <w:szCs w:val="24"/>
        </w:rPr>
        <w:t>。闭式基线与收益分解进一步区分规模配置收益和质量提升收益；注意力开销与基础训练开销相当的上下文长度为</w:t>
      </w:r>
      <w:r>
        <w:rPr>
          <w:rFonts w:eastAsia="宋体"/>
          <w:color w:val="000000"/>
          <w:sz w:val="24"/>
          <w:szCs w:val="24"/>
        </w:rPr>
        <w:t>30,000 tokens</w:t>
      </w:r>
      <w:r>
        <w:rPr>
          <w:rFonts w:eastAsia="宋体"/>
          <w:color w:val="000000"/>
          <w:sz w:val="24"/>
          <w:szCs w:val="24"/>
        </w:rPr>
        <w:t>。</w:t>
      </w:r>
    </w:p>
    <w:p w:rsidR="00EA0786" w:rsidRDefault="00000000">
      <w:pPr>
        <w:widowControl/>
        <w:snapToGrid w:val="0"/>
        <w:spacing w:after="90" w:line="300" w:lineRule="exact"/>
        <w:ind w:firstLine="480"/>
      </w:pPr>
      <w:r>
        <w:rPr>
          <w:rFonts w:eastAsia="宋体"/>
          <w:color w:val="000000"/>
          <w:sz w:val="24"/>
          <w:szCs w:val="24"/>
        </w:rPr>
        <w:t>针对问题四，采用描述性增长分解、分层单调桥接及月度前沿</w:t>
      </w:r>
      <w:r>
        <w:rPr>
          <w:rFonts w:eastAsia="宋体"/>
          <w:color w:val="000000"/>
          <w:sz w:val="24"/>
          <w:szCs w:val="24"/>
        </w:rPr>
        <w:t>Bootstrap</w:t>
      </w:r>
      <w:r>
        <w:rPr>
          <w:rFonts w:eastAsia="宋体"/>
          <w:color w:val="000000"/>
          <w:sz w:val="24"/>
          <w:szCs w:val="24"/>
        </w:rPr>
        <w:t>，计算停滞、放缓和维持趋势三类情景。在五次一步滚动检验中，趋势模型平均绝对误差为</w:t>
      </w:r>
      <w:r>
        <w:rPr>
          <w:rFonts w:eastAsia="宋体"/>
          <w:color w:val="000000"/>
          <w:sz w:val="24"/>
          <w:szCs w:val="24"/>
        </w:rPr>
        <w:t>1.773</w:t>
      </w:r>
      <w:r>
        <w:rPr>
          <w:rFonts w:eastAsia="宋体"/>
          <w:color w:val="000000"/>
          <w:sz w:val="24"/>
          <w:szCs w:val="24"/>
        </w:rPr>
        <w:t>，高于末值基线的</w:t>
      </w:r>
      <w:r>
        <w:rPr>
          <w:rFonts w:eastAsia="宋体"/>
          <w:color w:val="000000"/>
          <w:sz w:val="24"/>
          <w:szCs w:val="24"/>
        </w:rPr>
        <w:t>1.475</w:t>
      </w:r>
      <w:r>
        <w:rPr>
          <w:rFonts w:eastAsia="宋体"/>
          <w:color w:val="000000"/>
          <w:sz w:val="24"/>
          <w:szCs w:val="24"/>
        </w:rPr>
        <w:t>，因此远期区间仅作条件情景解释。结果表明，资源配置应同时考虑质量收益、处理成本和边界约束；评分与训练收益的联合校准及外部预测验证仍需更多真实数据。</w:t>
      </w:r>
    </w:p>
    <w:p w:rsidR="00EA0786" w:rsidRDefault="00000000">
      <w:pPr>
        <w:widowControl/>
        <w:snapToGrid w:val="0"/>
        <w:spacing w:line="300" w:lineRule="exact"/>
        <w:jc w:val="left"/>
      </w:pPr>
      <w:r w:rsidRPr="00CD4B44">
        <w:rPr>
          <w:rFonts w:ascii="黑体" w:eastAsia="黑体" w:hAnsi="黑体"/>
          <w:b/>
          <w:bCs/>
          <w:color w:val="000000"/>
          <w:sz w:val="24"/>
          <w:szCs w:val="24"/>
        </w:rPr>
        <w:t>关键词</w:t>
      </w:r>
      <w:r>
        <w:rPr>
          <w:rFonts w:eastAsia="宋体"/>
          <w:color w:val="000000"/>
          <w:sz w:val="24"/>
          <w:szCs w:val="24"/>
        </w:rPr>
        <w:t>：数据质量评价；广义标度律；算力约束；资源配置；能力前沿</w:t>
      </w:r>
    </w:p>
    <w:sectPr w:rsidR="00EA0786">
      <w:footerReference w:type="default" r:id="rId11"/>
      <w:footerReference w:type="first" r:id="rId12"/>
      <w:pgSz w:w="11906" w:h="16838"/>
      <w:pgMar w:top="1702" w:right="1274" w:bottom="1048" w:left="1276" w:header="0" w:footer="992" w:gutter="0"/>
      <w:pgNumType w:start="0"/>
      <w:cols w:space="720"/>
      <w:formProt w:val="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43BD9" w:rsidRDefault="00F43BD9">
      <w:r>
        <w:separator/>
      </w:r>
    </w:p>
  </w:endnote>
  <w:endnote w:type="continuationSeparator" w:id="0">
    <w:p w:rsidR="00F43BD9" w:rsidRDefault="00F43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panose1 w:val="020B0604020202020204"/>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panose1 w:val="020B0502040504020204"/>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宋体;SimSun">
    <w:altName w:val="宋体"/>
    <w:panose1 w:val="020B0604020202020204"/>
    <w:charset w:val="86"/>
    <w:family w:val="roman"/>
    <w:notTrueType/>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黑体;SimHei">
    <w:panose1 w:val="020B0604020202020204"/>
    <w:charset w:val="86"/>
    <w:family w:val="roman"/>
    <w:notTrueType/>
    <w:pitch w:val="default"/>
  </w:font>
  <w:font w:name="Liberation Sans">
    <w:altName w:val="Arial"/>
    <w:panose1 w:val="020B0604020202020204"/>
    <w:charset w:val="01"/>
    <w:family w:val="swiss"/>
    <w:pitch w:val="variable"/>
  </w:font>
  <w:font w:name="Linux Libertine G">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HeitiSC-Medium;Cambria">
    <w:altName w:val="Cambria"/>
    <w:panose1 w:val="020B0604020202020204"/>
    <w:charset w:val="00"/>
    <w:family w:val="roman"/>
    <w:notTrueType/>
    <w:pitch w:val="default"/>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微软雅黑">
    <w:altName w:val="宋体"/>
    <w:panose1 w:val="020B0604020202020204"/>
    <w:charset w:val="86"/>
    <w:family w:val="roman"/>
    <w:notTrueType/>
    <w:pitch w:val="default"/>
  </w:font>
  <w:font w:name="隶书;微软雅黑">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A0786" w:rsidRDefault="00000000">
    <w:pPr>
      <w:pStyle w:val="af9"/>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A0786" w:rsidRDefault="00EA0786">
    <w:pPr>
      <w:pStyle w:val="af9"/>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43BD9" w:rsidRDefault="00F43BD9">
      <w:r>
        <w:separator/>
      </w:r>
    </w:p>
  </w:footnote>
  <w:footnote w:type="continuationSeparator" w:id="0">
    <w:p w:rsidR="00F43BD9" w:rsidRDefault="00F43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9758B5"/>
    <w:multiLevelType w:val="multilevel"/>
    <w:tmpl w:val="AAECB7E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229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rsids>
    <w:rsidRoot w:val="00EA0786"/>
    <w:rsid w:val="008A5361"/>
    <w:rsid w:val="009B4995"/>
    <w:rsid w:val="00CD4B44"/>
    <w:rsid w:val="00DD726F"/>
    <w:rsid w:val="00EA0786"/>
    <w:rsid w:val="00F43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75E87E"/>
  <w15:docId w15:val="{C114E6DE-D6C5-5646-AC04-81391DE4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宋体" w:hAnsi="Liberation Serif" w:cs="Noto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SimSun" w:hAnsi="Times New Roman" w:cs="Times New Roman"/>
      <w:kern w:val="2"/>
      <w:sz w:val="21"/>
      <w:szCs w:val="22"/>
    </w:rPr>
  </w:style>
  <w:style w:type="paragraph" w:styleId="1">
    <w:name w:val="heading 1"/>
    <w:basedOn w:val="a"/>
    <w:next w:val="a"/>
    <w:uiPriority w:val="9"/>
    <w:qFormat/>
    <w:pPr>
      <w:keepNext/>
      <w:keepLines/>
      <w:numPr>
        <w:numId w:val="1"/>
      </w:numPr>
      <w:spacing w:before="340" w:after="330" w:line="576" w:lineRule="auto"/>
      <w:outlineLvl w:val="0"/>
    </w:pPr>
    <w:rPr>
      <w:b/>
      <w:bCs/>
      <w:sz w:val="44"/>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Cambria" w:hAnsi="Cambria" w:cs="Cambria"/>
      <w:b/>
      <w:bCs/>
      <w:kern w:val="0"/>
      <w:sz w:val="32"/>
      <w:szCs w:val="32"/>
    </w:rPr>
  </w:style>
  <w:style w:type="paragraph" w:styleId="3">
    <w:name w:val="heading 3"/>
    <w:basedOn w:val="a"/>
    <w:next w:val="a0"/>
    <w:uiPriority w:val="9"/>
    <w:semiHidden/>
    <w:unhideWhenUsed/>
    <w:qFormat/>
    <w:pPr>
      <w:widowControl/>
      <w:numPr>
        <w:ilvl w:val="2"/>
        <w:numId w:val="1"/>
      </w:numPr>
      <w:spacing w:before="100" w:after="100"/>
      <w:jc w:val="left"/>
      <w:outlineLvl w:val="2"/>
    </w:pPr>
    <w:rPr>
      <w:rFonts w:ascii="宋体;SimSun" w:hAnsi="宋体;SimSun" w:cs="宋体;SimSun"/>
      <w:b/>
      <w:bCs/>
      <w:kern w:val="0"/>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qFormat/>
    <w:rPr>
      <w:b/>
      <w:bCs/>
      <w:kern w:val="2"/>
      <w:sz w:val="44"/>
      <w:szCs w:val="44"/>
    </w:rPr>
  </w:style>
  <w:style w:type="character" w:customStyle="1" w:styleId="20">
    <w:name w:val="标题 2 字符"/>
    <w:qFormat/>
    <w:rPr>
      <w:rFonts w:ascii="Cambria" w:eastAsia="宋体;SimSun" w:hAnsi="Cambria" w:cs="Times New Roman"/>
      <w:b/>
      <w:bCs/>
      <w:sz w:val="32"/>
      <w:szCs w:val="32"/>
    </w:rPr>
  </w:style>
  <w:style w:type="character" w:customStyle="1" w:styleId="30">
    <w:name w:val="标题 3 字符"/>
    <w:qFormat/>
    <w:rPr>
      <w:rFonts w:ascii="宋体;SimSun" w:eastAsia="宋体;SimSun" w:hAnsi="宋体;SimSun" w:cs="宋体;SimSun"/>
      <w:b/>
      <w:bCs/>
      <w:kern w:val="0"/>
      <w:sz w:val="27"/>
      <w:szCs w:val="27"/>
    </w:rPr>
  </w:style>
  <w:style w:type="character" w:customStyle="1" w:styleId="a4">
    <w:name w:val="题注 字符"/>
    <w:qFormat/>
    <w:rPr>
      <w:rFonts w:ascii="Arial" w:eastAsia="黑体;SimHei" w:hAnsi="Arial" w:cs="Arial"/>
      <w:sz w:val="20"/>
      <w:szCs w:val="20"/>
    </w:rPr>
  </w:style>
  <w:style w:type="character" w:customStyle="1" w:styleId="a5">
    <w:name w:val="批注文字 字符"/>
    <w:qFormat/>
  </w:style>
  <w:style w:type="character" w:customStyle="1" w:styleId="a6">
    <w:name w:val="纯文本 字符"/>
    <w:qFormat/>
    <w:rPr>
      <w:rFonts w:ascii="宋体;SimSun" w:eastAsia="宋体;SimSun" w:hAnsi="宋体;SimSun" w:cs="Times New Roman" w:hint="eastAsia"/>
      <w:kern w:val="0"/>
      <w:szCs w:val="20"/>
    </w:rPr>
  </w:style>
  <w:style w:type="character" w:customStyle="1" w:styleId="a7">
    <w:name w:val="日期 字符"/>
    <w:qFormat/>
    <w:rPr>
      <w:kern w:val="2"/>
      <w:sz w:val="21"/>
      <w:szCs w:val="22"/>
    </w:rPr>
  </w:style>
  <w:style w:type="character" w:customStyle="1" w:styleId="a8">
    <w:name w:val="尾注文本 字符"/>
    <w:qFormat/>
    <w:rPr>
      <w:kern w:val="2"/>
      <w:sz w:val="21"/>
      <w:szCs w:val="22"/>
    </w:rPr>
  </w:style>
  <w:style w:type="character" w:customStyle="1" w:styleId="a9">
    <w:name w:val="批注框文本 字符"/>
    <w:qFormat/>
    <w:rPr>
      <w:sz w:val="18"/>
      <w:szCs w:val="18"/>
    </w:rPr>
  </w:style>
  <w:style w:type="character" w:customStyle="1" w:styleId="aa">
    <w:name w:val="页脚 字符"/>
    <w:qFormat/>
    <w:rPr>
      <w:sz w:val="18"/>
      <w:szCs w:val="18"/>
    </w:rPr>
  </w:style>
  <w:style w:type="character" w:customStyle="1" w:styleId="ab">
    <w:name w:val="页眉 字符"/>
    <w:qFormat/>
    <w:rPr>
      <w:sz w:val="18"/>
      <w:szCs w:val="18"/>
    </w:rPr>
  </w:style>
  <w:style w:type="character" w:customStyle="1" w:styleId="ac">
    <w:name w:val="批注主题 字符"/>
    <w:qFormat/>
    <w:rPr>
      <w:b/>
    </w:rPr>
  </w:style>
  <w:style w:type="character" w:styleId="ad">
    <w:name w:val="Strong"/>
    <w:qFormat/>
    <w:rPr>
      <w:b/>
      <w:bCs/>
    </w:rPr>
  </w:style>
  <w:style w:type="character" w:customStyle="1" w:styleId="EndnoteCharacters">
    <w:name w:val="Endnote Characters"/>
    <w:qFormat/>
    <w:rPr>
      <w:vertAlign w:val="superscript"/>
    </w:rPr>
  </w:style>
  <w:style w:type="character" w:styleId="ae">
    <w:name w:val="FollowedHyperlink"/>
    <w:rPr>
      <w:color w:val="954F72"/>
      <w:u w:val="single"/>
    </w:rPr>
  </w:style>
  <w:style w:type="character" w:styleId="af">
    <w:name w:val="Hyperlink"/>
    <w:rPr>
      <w:color w:val="0563C1"/>
      <w:u w:val="single"/>
    </w:rPr>
  </w:style>
  <w:style w:type="character" w:styleId="af0">
    <w:name w:val="annotation reference"/>
    <w:qFormat/>
    <w:rPr>
      <w:sz w:val="21"/>
      <w:szCs w:val="21"/>
    </w:rPr>
  </w:style>
  <w:style w:type="character" w:customStyle="1" w:styleId="af1">
    <w:name w:val="无间距字符"/>
    <w:qFormat/>
    <w:rPr>
      <w:sz w:val="22"/>
      <w:szCs w:val="22"/>
      <w:lang w:bidi="ar-SA"/>
    </w:rPr>
  </w:style>
  <w:style w:type="character" w:customStyle="1" w:styleId="apple-converted-space">
    <w:name w:val="apple-converted-space"/>
    <w:qFormat/>
  </w:style>
  <w:style w:type="character" w:customStyle="1" w:styleId="apple-style-span">
    <w:name w:val="apple-style-span"/>
    <w:qFormat/>
  </w:style>
  <w:style w:type="character" w:customStyle="1" w:styleId="font61">
    <w:name w:val="font61"/>
    <w:qFormat/>
    <w:rPr>
      <w:rFonts w:ascii="宋体;SimSun" w:eastAsia="宋体;SimSun" w:hAnsi="宋体;SimSun" w:cs="宋体;SimSun" w:hint="eastAsia"/>
      <w:i w:val="0"/>
      <w:color w:val="000000"/>
      <w:sz w:val="28"/>
      <w:szCs w:val="28"/>
      <w:u w:val="none"/>
    </w:rPr>
  </w:style>
  <w:style w:type="paragraph" w:customStyle="1" w:styleId="Heading">
    <w:name w:val="Heading"/>
    <w:basedOn w:val="a"/>
    <w:next w:val="a0"/>
    <w:qFormat/>
    <w:pPr>
      <w:keepNext/>
      <w:spacing w:before="240" w:after="120"/>
    </w:pPr>
    <w:rPr>
      <w:rFonts w:ascii="Liberation Sans" w:eastAsia="Linux Libertine G" w:hAnsi="Liberation Sans" w:cs="Noto Sans"/>
      <w:sz w:val="28"/>
      <w:szCs w:val="28"/>
    </w:rPr>
  </w:style>
  <w:style w:type="paragraph" w:styleId="a0">
    <w:name w:val="Body Text"/>
    <w:basedOn w:val="a"/>
    <w:pPr>
      <w:spacing w:after="140" w:line="276" w:lineRule="auto"/>
    </w:pPr>
  </w:style>
  <w:style w:type="paragraph" w:styleId="af2">
    <w:name w:val="List"/>
    <w:basedOn w:val="a0"/>
    <w:rPr>
      <w:rFonts w:cs="Noto Sans"/>
    </w:rPr>
  </w:style>
  <w:style w:type="paragraph" w:styleId="af3">
    <w:name w:val="caption"/>
    <w:basedOn w:val="a"/>
    <w:next w:val="a"/>
    <w:qFormat/>
    <w:pPr>
      <w:widowControl/>
      <w:snapToGrid w:val="0"/>
      <w:spacing w:before="152" w:after="160" w:line="240" w:lineRule="atLeast"/>
      <w:ind w:left="1702"/>
      <w:jc w:val="left"/>
    </w:pPr>
    <w:rPr>
      <w:rFonts w:ascii="Arial" w:eastAsia="黑体;SimHei" w:hAnsi="Arial" w:cs="Arial"/>
      <w:kern w:val="0"/>
      <w:sz w:val="20"/>
      <w:szCs w:val="20"/>
    </w:rPr>
  </w:style>
  <w:style w:type="paragraph" w:customStyle="1" w:styleId="Index">
    <w:name w:val="Index"/>
    <w:basedOn w:val="a"/>
    <w:qFormat/>
    <w:pPr>
      <w:suppressLineNumbers/>
    </w:pPr>
    <w:rPr>
      <w:rFonts w:cs="Noto Sans"/>
    </w:rPr>
  </w:style>
  <w:style w:type="paragraph" w:styleId="af4">
    <w:name w:val="annotation text"/>
    <w:basedOn w:val="a"/>
    <w:qFormat/>
    <w:pPr>
      <w:jc w:val="left"/>
    </w:pPr>
    <w:rPr>
      <w:rFonts w:ascii="Calibri" w:hAnsi="Calibri"/>
    </w:rPr>
  </w:style>
  <w:style w:type="paragraph" w:styleId="TOC3">
    <w:name w:val="toc 3"/>
    <w:basedOn w:val="a"/>
    <w:next w:val="a"/>
    <w:pPr>
      <w:ind w:leftChars="400" w:left="400"/>
    </w:pPr>
  </w:style>
  <w:style w:type="paragraph" w:styleId="af5">
    <w:name w:val="Plain Text"/>
    <w:basedOn w:val="a"/>
    <w:qFormat/>
    <w:pPr>
      <w:spacing w:line="312" w:lineRule="atLeast"/>
    </w:pPr>
    <w:rPr>
      <w:rFonts w:ascii="宋体;SimSun" w:hAnsi="宋体;SimSun" w:cs="Courier New" w:hint="eastAsia"/>
      <w:kern w:val="0"/>
      <w:sz w:val="20"/>
      <w:szCs w:val="20"/>
    </w:rPr>
  </w:style>
  <w:style w:type="paragraph" w:styleId="af6">
    <w:name w:val="Date"/>
    <w:basedOn w:val="a"/>
    <w:next w:val="a"/>
    <w:qFormat/>
    <w:pPr>
      <w:ind w:leftChars="2500" w:left="2500"/>
    </w:pPr>
  </w:style>
  <w:style w:type="paragraph" w:styleId="af7">
    <w:name w:val="endnote text"/>
    <w:basedOn w:val="a"/>
    <w:pPr>
      <w:snapToGrid w:val="0"/>
      <w:jc w:val="left"/>
    </w:pPr>
  </w:style>
  <w:style w:type="paragraph" w:styleId="af8">
    <w:name w:val="Balloon Text"/>
    <w:basedOn w:val="a"/>
    <w:qFormat/>
    <w:rPr>
      <w:kern w:val="0"/>
      <w:sz w:val="18"/>
      <w:szCs w:val="18"/>
    </w:rPr>
  </w:style>
  <w:style w:type="paragraph" w:customStyle="1" w:styleId="HeaderandFooter">
    <w:name w:val="Header and Footer"/>
    <w:basedOn w:val="a"/>
    <w:qFormat/>
    <w:pPr>
      <w:suppressLineNumbers/>
      <w:tabs>
        <w:tab w:val="center" w:pos="4819"/>
        <w:tab w:val="right" w:pos="9638"/>
      </w:tabs>
    </w:pPr>
  </w:style>
  <w:style w:type="paragraph" w:styleId="af9">
    <w:name w:val="footer"/>
    <w:basedOn w:val="a"/>
    <w:pPr>
      <w:tabs>
        <w:tab w:val="center" w:pos="4153"/>
        <w:tab w:val="right" w:pos="8306"/>
      </w:tabs>
      <w:snapToGrid w:val="0"/>
      <w:jc w:val="left"/>
    </w:pPr>
    <w:rPr>
      <w:kern w:val="0"/>
      <w:sz w:val="18"/>
      <w:szCs w:val="18"/>
    </w:rPr>
  </w:style>
  <w:style w:type="paragraph" w:styleId="afa">
    <w:name w:val="header"/>
    <w:basedOn w:val="a"/>
    <w:pPr>
      <w:pBdr>
        <w:bottom w:val="single" w:sz="6" w:space="1" w:color="000000"/>
      </w:pBdr>
      <w:tabs>
        <w:tab w:val="center" w:pos="4153"/>
        <w:tab w:val="right" w:pos="8306"/>
      </w:tabs>
      <w:snapToGrid w:val="0"/>
      <w:jc w:val="center"/>
    </w:pPr>
    <w:rPr>
      <w:kern w:val="0"/>
      <w:sz w:val="18"/>
      <w:szCs w:val="18"/>
    </w:rPr>
  </w:style>
  <w:style w:type="paragraph" w:styleId="TOC1">
    <w:name w:val="toc 1"/>
    <w:basedOn w:val="a"/>
    <w:next w:val="a"/>
  </w:style>
  <w:style w:type="paragraph" w:styleId="TOC2">
    <w:name w:val="toc 2"/>
    <w:basedOn w:val="a"/>
    <w:next w:val="a"/>
    <w:pPr>
      <w:ind w:leftChars="200" w:left="200"/>
    </w:pPr>
  </w:style>
  <w:style w:type="paragraph" w:styleId="afb">
    <w:name w:val="Normal (Web)"/>
    <w:basedOn w:val="a"/>
    <w:qFormat/>
    <w:pPr>
      <w:widowControl/>
      <w:spacing w:before="100" w:after="100"/>
      <w:jc w:val="left"/>
    </w:pPr>
    <w:rPr>
      <w:rFonts w:ascii="宋体;SimSun" w:hAnsi="宋体;SimSun" w:cs="宋体;SimSun"/>
      <w:kern w:val="0"/>
      <w:sz w:val="24"/>
      <w:szCs w:val="24"/>
    </w:rPr>
  </w:style>
  <w:style w:type="paragraph" w:styleId="afc">
    <w:name w:val="annotation subject"/>
    <w:basedOn w:val="af4"/>
    <w:next w:val="af4"/>
    <w:qFormat/>
    <w:rPr>
      <w:rFonts w:ascii="Times New Roman" w:hAnsi="Times New Roman"/>
      <w:b/>
      <w:kern w:val="0"/>
      <w:sz w:val="20"/>
      <w:szCs w:val="20"/>
    </w:rPr>
  </w:style>
  <w:style w:type="paragraph" w:customStyle="1" w:styleId="afd">
    <w:name w:val="无间距"/>
    <w:qFormat/>
    <w:pPr>
      <w:suppressAutoHyphens/>
    </w:pPr>
    <w:rPr>
      <w:rFonts w:ascii="Times New Roman" w:eastAsia="宋体;SimSun" w:hAnsi="Times New Roman" w:cs="Times New Roman"/>
      <w:sz w:val="22"/>
      <w:szCs w:val="22"/>
    </w:rPr>
  </w:style>
  <w:style w:type="paragraph" w:customStyle="1" w:styleId="-11">
    <w:name w:val="彩色列表 - 强调文字颜色 11"/>
    <w:basedOn w:val="a"/>
    <w:qFormat/>
    <w:pPr>
      <w:ind w:firstLineChars="200" w:firstLine="200"/>
    </w:pPr>
  </w:style>
  <w:style w:type="paragraph" w:customStyle="1" w:styleId="style5">
    <w:name w:val="style5"/>
    <w:basedOn w:val="a"/>
    <w:qFormat/>
    <w:pPr>
      <w:widowControl/>
      <w:spacing w:before="100" w:after="100"/>
      <w:jc w:val="left"/>
    </w:pPr>
    <w:rPr>
      <w:rFonts w:ascii="宋体;SimSun" w:hAnsi="宋体;SimSun" w:cs="宋体;SimSun"/>
      <w:kern w:val="0"/>
      <w:sz w:val="24"/>
      <w:szCs w:val="24"/>
    </w:rPr>
  </w:style>
  <w:style w:type="paragraph" w:customStyle="1" w:styleId="font10">
    <w:name w:val="font10"/>
    <w:basedOn w:val="a"/>
    <w:qFormat/>
    <w:pPr>
      <w:widowControl/>
      <w:spacing w:before="100" w:after="100"/>
      <w:jc w:val="left"/>
    </w:pPr>
    <w:rPr>
      <w:rFonts w:ascii="宋体;SimSun" w:hAnsi="宋体;SimSun" w:cs="宋体;SimSun"/>
      <w:kern w:val="0"/>
      <w:sz w:val="24"/>
      <w:szCs w:val="24"/>
    </w:rPr>
  </w:style>
  <w:style w:type="paragraph" w:customStyle="1" w:styleId="21">
    <w:name w:val="列出段落2"/>
    <w:basedOn w:val="a"/>
    <w:qFormat/>
    <w:pPr>
      <w:ind w:firstLineChars="200" w:firstLine="200"/>
    </w:pPr>
    <w:rPr>
      <w:rFonts w:ascii="Calibri" w:hAnsi="Calibri"/>
    </w:rPr>
  </w:style>
  <w:style w:type="paragraph" w:customStyle="1" w:styleId="afe">
    <w:name w:val="摘要标题"/>
    <w:qFormat/>
    <w:pPr>
      <w:suppressAutoHyphens/>
      <w:spacing w:after="200" w:line="276" w:lineRule="auto"/>
    </w:pPr>
    <w:rPr>
      <w:rFonts w:ascii="STHeitiSC-Medium;Cambria" w:eastAsia="STHeitiSC-Medium;Cambria" w:hAnsi="STHeitiSC-Medium;Cambria" w:cs="STHeitiSC-Medium;Cambria"/>
      <w:b/>
      <w:sz w:val="36"/>
      <w:szCs w:val="22"/>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dc:creator>
  <cp:keywords/>
  <dc:description/>
  <cp:lastModifiedBy>桦彬 张</cp:lastModifiedBy>
  <cp:revision>9</cp:revision>
  <cp:lastPrinted>2023-09-12T08:52:00Z</cp:lastPrinted>
  <dcterms:created xsi:type="dcterms:W3CDTF">2026-09-24T10:19:00Z</dcterms:created>
  <dcterms:modified xsi:type="dcterms:W3CDTF">2026-09-26T11:54:00Z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5"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