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69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2" w:line="40" w:lineRule="atLeast"/>
        <w:jc w:val="center"/>
        <w:textAlignment w:val="auto"/>
        <w:outlineLvl w:val="0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  <w:lang w:eastAsia="zh-CN"/>
        </w:rPr>
        <w:t>202</w:t>
      </w:r>
      <w:r>
        <w:rPr>
          <w:rFonts w:hint="eastAsia" w:ascii="Times New Roman" w:hAnsi="Times New Roman" w:eastAsia="宋体" w:cs="Times New Roman"/>
          <w:b/>
          <w:bCs/>
          <w:spacing w:val="-2"/>
          <w:sz w:val="32"/>
          <w:szCs w:val="32"/>
          <w:lang w:val="en-US" w:eastAsia="zh-CN"/>
        </w:rPr>
        <w:t>6</w:t>
      </w:r>
      <w:r>
        <w:rPr>
          <w:rFonts w:ascii="黑体" w:hAnsi="黑体" w:eastAsia="黑体" w:cs="黑体"/>
          <w:b/>
          <w:bCs/>
          <w:spacing w:val="-2"/>
          <w:sz w:val="32"/>
          <w:szCs w:val="32"/>
          <w:lang w:eastAsia="zh-CN"/>
        </w:rPr>
        <w:t>年</w:t>
      </w:r>
      <w:r>
        <w:rPr>
          <w:rFonts w:hint="eastAsia" w:ascii="黑体" w:hAnsi="黑体" w:eastAsia="黑体" w:cs="黑体"/>
          <w:b/>
          <w:bCs/>
          <w:spacing w:val="-2"/>
          <w:sz w:val="32"/>
          <w:szCs w:val="32"/>
          <w:lang w:eastAsia="zh-CN"/>
        </w:rPr>
        <w:t>浙江工商大学</w:t>
      </w:r>
      <w:r>
        <w:rPr>
          <w:rFonts w:hint="eastAsia" w:ascii="黑体" w:hAnsi="黑体" w:eastAsia="黑体" w:cs="黑体"/>
          <w:b/>
          <w:bCs/>
          <w:spacing w:val="-2"/>
          <w:sz w:val="32"/>
          <w:szCs w:val="32"/>
          <w:lang w:val="en-US" w:eastAsia="zh-CN"/>
        </w:rPr>
        <w:t>研究生</w:t>
      </w:r>
      <w:r>
        <w:rPr>
          <w:rFonts w:ascii="黑体" w:hAnsi="黑体" w:eastAsia="黑体" w:cs="黑体"/>
          <w:b/>
          <w:bCs/>
          <w:spacing w:val="-2"/>
          <w:sz w:val="32"/>
          <w:szCs w:val="32"/>
          <w:lang w:eastAsia="zh-CN"/>
        </w:rPr>
        <w:t>数学建模竞赛题目</w:t>
      </w:r>
    </w:p>
    <w:p w14:paraId="1F6C2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5" w:line="40" w:lineRule="atLeast"/>
        <w:ind w:firstLine="13"/>
        <w:textAlignment w:val="auto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10"/>
          <w:szCs w:val="10"/>
          <w:shd w:val="clear" w:fill="FFFFFF"/>
          <w:lang w:val="en-US" w:eastAsia="zh-CN"/>
        </w:rPr>
      </w:pPr>
      <w:r>
        <w:rPr>
          <w:position w:val="-2"/>
          <w:sz w:val="10"/>
          <w:szCs w:val="10"/>
        </w:rPr>
        <w:drawing>
          <wp:inline distT="0" distB="0" distL="0" distR="0">
            <wp:extent cx="5257800" cy="64770"/>
            <wp:effectExtent l="0" t="0" r="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37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7F9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15" w:lineRule="auto"/>
        <w:ind w:left="0" w:right="0" w:firstLine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A题 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霍尔木兹海峡封锁对国际原油价格的影响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分析</w:t>
      </w:r>
    </w:p>
    <w:p w14:paraId="2B92180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15" w:lineRule="auto"/>
        <w:ind w:left="0" w:right="0" w:firstLine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——基于2026年美以伊战争背景的建模</w:t>
      </w:r>
    </w:p>
    <w:p w14:paraId="513F11C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360" w:lineRule="auto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一、赛题背景</w:t>
      </w:r>
    </w:p>
    <w:p w14:paraId="1D0D203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2026年2月28日，美国和以色列对伊朗发动代号为“史诗狂怒”的军事打击，伊朗随即宣布封锁霍尔木兹海峡作为反制。截至2026年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月初，冲突已持续超过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0天，霍尔木兹海峡仍处于美伊联合封锁之下的“实质关闭”状态。</w:t>
      </w:r>
      <w:r>
        <w:rPr>
          <w:rFonts w:ascii="宋体" w:hAnsi="宋体" w:eastAsia="宋体" w:cs="宋体"/>
          <w:sz w:val="24"/>
          <w:szCs w:val="24"/>
        </w:rPr>
        <w:t>4 月 28 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据联合国秘书长发言人通报，自冲突爆发以来，与霍尔木兹海峡相关的船舶通行量已下降95.3%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近7日（5月26日–6月1日）：日均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通行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6.6艘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船舶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，为战前的5.3%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战前日均125艘（含油轮和货船）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6A08CA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霍尔木兹海峡是全球最重要的石油运输咽喉要道，正常时期承担全球约20%的原油运输（约2000万桶/日）以及全球20%的液化天然气供应。此次封锁被国际能源署称为“历史上最大规模的能源供应中断冲击”。国际油价应声飙升：布伦特原油从冲突前的约75美元/桶涨至4月底的126美元/桶以上，涨幅超过60%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最近5月下旬原油价格有所回落，布伦特原油回落到90多美元一桶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BF36C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然而，一个令经济学家困惑的“异常现象”也随之出现：按照经典的供需模型，1400-1800万桶/日的供应中断应导致油价突破200美元/桶，但当前油价仅在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0-1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0美元/桶区间徘徊。市场究竟发生了什么？投机预期、库存缓冲、需求崩塌——各种力量正在角力。</w:t>
      </w:r>
    </w:p>
    <w:p w14:paraId="58CE522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本题要求学生基于这场真实的地缘政治危机，建立数学模型，定量评估霍尔木兹海峡封锁对国际原油价格的影响机制。</w:t>
      </w:r>
    </w:p>
    <w:p w14:paraId="28425FD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二、已知信息与数据</w:t>
      </w:r>
    </w:p>
    <w:p w14:paraId="1E650D2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以下数据综合自2026年美以伊冲突期间的公开报道和研究报告。</w:t>
      </w:r>
    </w:p>
    <w:p w14:paraId="45811A9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 全球原油供需基础数据（战前）</w:t>
      </w:r>
    </w:p>
    <w:tbl>
      <w:tblPr>
        <w:tblStyle w:val="6"/>
        <w:tblW w:w="697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2"/>
        <w:gridCol w:w="2047"/>
        <w:gridCol w:w="2078"/>
      </w:tblGrid>
      <w:tr w14:paraId="54125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059E7C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8A11D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82204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来源依据</w:t>
            </w:r>
          </w:p>
        </w:tc>
      </w:tr>
      <w:tr w14:paraId="16451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EF1E0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全球原油总供给</w:t>
            </w: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626E2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10000万桶/日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FA09D0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综合估算</w:t>
            </w:r>
          </w:p>
        </w:tc>
      </w:tr>
      <w:tr w14:paraId="380F2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98ADAF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通过霍尔木兹海峡的原油</w:t>
            </w: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74931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2000万桶/日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CB7CB2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约占全球20%</w:t>
            </w:r>
          </w:p>
        </w:tc>
      </w:tr>
      <w:tr w14:paraId="7D482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0F409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其中：伊朗出口</w:t>
            </w: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037B4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约400万桶/日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F8608A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综合估算</w:t>
            </w:r>
          </w:p>
        </w:tc>
      </w:tr>
      <w:tr w14:paraId="71E01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DAF08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沙特、阿联酋、科威特、伊拉克等其他海湾国家</w:t>
            </w: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60B30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约1600万桶/日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DCA730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综合估算</w:t>
            </w:r>
          </w:p>
        </w:tc>
      </w:tr>
      <w:tr w14:paraId="54490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69CEF4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全球原油总需求</w:t>
            </w:r>
          </w:p>
        </w:tc>
        <w:tc>
          <w:tcPr>
            <w:tcW w:w="2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21BA7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约10000万桶/日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9B7277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综合估算</w:t>
            </w:r>
          </w:p>
        </w:tc>
      </w:tr>
    </w:tbl>
    <w:p w14:paraId="37531E1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 冲突发生后实际观测数据（截至2026年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月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初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tbl>
      <w:tblPr>
        <w:tblStyle w:val="6"/>
        <w:tblW w:w="79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0"/>
        <w:gridCol w:w="2722"/>
        <w:gridCol w:w="2393"/>
      </w:tblGrid>
      <w:tr w14:paraId="4C844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B5A86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2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5692E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0C3BB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来源依据</w:t>
            </w:r>
          </w:p>
        </w:tc>
      </w:tr>
      <w:tr w14:paraId="2A7E3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777677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船舶通行量下降幅度</w:t>
            </w:r>
          </w:p>
        </w:tc>
        <w:tc>
          <w:tcPr>
            <w:tcW w:w="2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FA1C0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95.3%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EABEFD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联合国秘书长发言人</w:t>
            </w:r>
          </w:p>
        </w:tc>
      </w:tr>
      <w:tr w14:paraId="5E714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14840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估算实际供应中断量</w:t>
            </w:r>
          </w:p>
        </w:tc>
        <w:tc>
          <w:tcPr>
            <w:tcW w:w="2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DFDBE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1400-1800万桶/日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FC3859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IEA及多家机构估算</w:t>
            </w:r>
          </w:p>
        </w:tc>
      </w:tr>
      <w:tr w14:paraId="68ED9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BB4036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布伦特原油价格峰值</w:t>
            </w:r>
          </w:p>
        </w:tc>
        <w:tc>
          <w:tcPr>
            <w:tcW w:w="2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B5076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126美元/桶（4月30日）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04D25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市场数据</w:t>
            </w:r>
          </w:p>
        </w:tc>
      </w:tr>
      <w:tr w14:paraId="4F8A5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5A58C6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布伦特原油价格区间</w:t>
            </w:r>
          </w:p>
        </w:tc>
        <w:tc>
          <w:tcPr>
            <w:tcW w:w="2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B6C25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0-1</w:t>
            </w:r>
            <w:r>
              <w:rPr>
                <w:rFonts w:hint="eastAsia" w:asciiTheme="minorEastAsia" w:hAnsiTheme="minorEastAsia" w:cstheme="minorEastAsia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0美元/桶（持续）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85D37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市场数据</w:t>
            </w:r>
          </w:p>
        </w:tc>
      </w:tr>
      <w:tr w14:paraId="69AA6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4E69D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全球战略石油储备（战前）</w:t>
            </w:r>
          </w:p>
        </w:tc>
        <w:tc>
          <w:tcPr>
            <w:tcW w:w="2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45A28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约30亿桶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C2BB4C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综合估算</w:t>
            </w:r>
          </w:p>
        </w:tc>
      </w:tr>
      <w:tr w14:paraId="3784A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B5344F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战前海上及陆上商业库存</w:t>
            </w:r>
          </w:p>
        </w:tc>
        <w:tc>
          <w:tcPr>
            <w:tcW w:w="2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AA008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约5.8亿桶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DE250C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摩根大通</w:t>
            </w:r>
          </w:p>
        </w:tc>
      </w:tr>
      <w:tr w14:paraId="06E9D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A505ED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实际需求下降幅度</w:t>
            </w:r>
          </w:p>
        </w:tc>
        <w:tc>
          <w:tcPr>
            <w:tcW w:w="2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1EA3A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约430万桶/日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12DD0B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摩根大通</w:t>
            </w:r>
          </w:p>
        </w:tc>
      </w:tr>
    </w:tbl>
    <w:p w14:paraId="51B4694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360" w:lineRule="auto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 调节能力与约束条件</w:t>
      </w:r>
    </w:p>
    <w:p w14:paraId="5532D3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绕道运输能力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：沙特、阿联酋部分产能可通过其他港口或管道绕开海峡，但需要时间（7-30天）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绕道运力上限约300万桶/日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3979D59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增产能力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D92D03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 w:line="360" w:lineRule="auto"/>
        <w:ind w:left="420" w:leftChars="0" w:right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美国、拉美等非海湾地区产量有所增长，但增量远不足以填补1400万桶/日缺口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7CB754E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 w:line="360" w:lineRule="auto"/>
        <w:ind w:left="420" w:leftChars="0" w:right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沙特、阿联酋虽有增产能力，但因海峡封锁导致出口受阻，无法大幅提量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19BD3F0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 w:line="360" w:lineRule="auto"/>
        <w:ind w:left="420" w:leftChars="0" w:right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全球炼油厂已接近满负荷运转，部分遭战火破坏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745EC3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库存释放能力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：战略储备释放速度上限约200-700万桶/日（不同机构估算差异）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006B445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360" w:lineRule="auto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、建模任务</w:t>
      </w:r>
    </w:p>
    <w:p w14:paraId="58A55CB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360" w:lineRule="auto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任务1：短期冲击模型（0-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0天）</w:t>
      </w:r>
    </w:p>
    <w:p w14:paraId="60211B0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建立日度时间尺度的供需平衡模型，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用布伦特原油期货主力合约价格数据（数据见附件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附件1.布伦特原油期货主力合约价格数据.csv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模拟封锁后0-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0天内的油价演变。考虑以下因素的动态相互作用：</w:t>
      </w:r>
    </w:p>
    <w:p w14:paraId="6C799A7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5" w:leftChars="0" w:right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供应中断量：假设霍尔木兹海峡通行量从2000万桶/日降至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0；</w:t>
      </w:r>
    </w:p>
    <w:p w14:paraId="46E560F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5" w:leftChars="0" w:right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战略储备释放：释放能力上限200-700万桶/日，但有启动延迟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5DF68CE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5" w:leftChars="0" w:right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商业库存缓冲：初始库存5.8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桶，可作为缓冲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0C27540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5" w:leftChars="0" w:right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绕道运输：最大能力300万桶/日，启动时间7-30天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2E24272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5" w:leftChars="0" w:right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恐慌性需求：短期恐慌导致需求放大系数1.1-1.2倍，持续1-2周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154093F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5" w:leftChars="0" w:right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需求的价格弹性：短期弹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性约为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−0.05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6A7D7FEC">
      <w:pPr>
        <w:pStyle w:val="5"/>
        <w:keepNext w:val="0"/>
        <w:keepLines w:val="0"/>
        <w:widowControl/>
        <w:suppressLineNumbers w:val="0"/>
        <w:spacing w:before="0" w:beforeAutospacing="0" w:after="60" w:afterAutospacing="0" w:line="360" w:lineRule="auto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采用以下价格调整机制（或自行设计）：</w:t>
      </w:r>
    </w:p>
    <w:p w14:paraId="71CC10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 w:line="360" w:lineRule="auto"/>
        <w:rPr>
          <w:rFonts w:hint="default" w:hAnsi="Cambria Math" w:cs="Cambria Math"/>
          <w:b w:val="0"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theme="minorEastAsia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theme="minorEastAsia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ascii="Cambria Math" w:hAnsi="Cambria Math" w:cstheme="minorEastAsia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cstheme="minorEastAsia"/>
                  <w:sz w:val="24"/>
                  <w:szCs w:val="24"/>
                  <w:lang w:val="en-US" w:eastAsia="zh-CN"/>
                </w:rPr>
                <m:t>t+1</m:t>
              </m:r>
              <m:ctrlPr>
                <w:rPr>
                  <w:rFonts w:ascii="Cambria Math" w:hAnsi="Cambria Math" w:cstheme="minorEastAsia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cstheme="minorEastAsia"/>
              <w:sz w:val="24"/>
              <w:szCs w:val="24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cstheme="minorEastAsia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theme="minorEastAsia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theme="minorEastAsia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theme="minorEastAsia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theme="minorEastAsia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theme="minorEastAsia"/>
              <w:sz w:val="24"/>
              <w:szCs w:val="24"/>
              <w:lang w:val="en-US" w:eastAsia="zh-CN"/>
            </w:rPr>
            <m:t>+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β</m:t>
          </m:r>
          <m:d>
            <m:dPr>
              <m:ctrlPr>
                <w:rPr>
                  <w:rFonts w:hint="default" w:ascii="Cambria Math" w:hAnsi="Cambria Math" w:cs="Cambria Math"/>
                  <w:b w:val="0"/>
                  <w:i/>
                  <w:sz w:val="24"/>
                  <w:szCs w:val="24"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Cambria Math"/>
                      <w:b w:val="0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  <w:szCs w:val="24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 w:cs="Cambria Math"/>
                      <w:b w:val="0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b w:val="0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Cambria Math"/>
                      <w:b w:val="0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  <w:szCs w:val="24"/>
                      <w:lang w:val="en-US" w:eastAsia="zh-CN"/>
                    </w:rPr>
                    <m:t>S</m:t>
                  </m:r>
                  <m:ctrlPr>
                    <w:rPr>
                      <w:rFonts w:hint="default" w:ascii="Cambria Math" w:hAnsi="Cambria Math" w:cs="Cambria Math"/>
                      <w:b w:val="0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b w:val="0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b w:val="0"/>
                  <w:i/>
                  <w:sz w:val="24"/>
                  <w:szCs w:val="24"/>
                  <w:lang w:val="en-US" w:eastAsia="zh-CN"/>
                </w:rPr>
              </m:ctrlPr>
            </m:e>
          </m:d>
        </m:oMath>
      </m:oMathPara>
      <w:r>
        <w:rPr>
          <w:rFonts w:hint="default" w:hAnsi="Cambria Math" w:cs="Cambria Math"/>
          <w:b w:val="0"/>
          <w:i w:val="0"/>
          <w:sz w:val="24"/>
          <w:szCs w:val="24"/>
          <w:lang w:val="en-US" w:eastAsia="zh-CN"/>
        </w:rPr>
        <w:cr/>
      </w:r>
      <w:r>
        <w:rPr>
          <w:rFonts w:hint="default" w:hAnsi="Cambria Math" w:cs="Cambria Math"/>
          <w:b w:val="0"/>
          <w:i w:val="0"/>
          <w:sz w:val="24"/>
          <w:szCs w:val="24"/>
          <w:lang w:val="en-US" w:eastAsia="zh-CN"/>
        </w:rPr>
        <w:t> </w:t>
      </w:r>
      <w:r>
        <w:rPr>
          <w:rFonts w:hint="eastAsia" w:hAnsi="Cambria Math" w:cs="Cambria Math"/>
          <w:b w:val="0"/>
          <w:i w:val="0"/>
          <w:sz w:val="24"/>
          <w:szCs w:val="24"/>
          <w:lang w:val="en-US" w:eastAsia="zh-CN"/>
        </w:rPr>
        <w:t>其中</w:t>
      </w:r>
      <m:oMath>
        <m:sSub>
          <m:sSubPr>
            <m:ctrlPr>
              <w:rPr>
                <w:rFonts w:hint="default" w:ascii="Cambria Math" w:hAnsi="Cambria Math" w:cstheme="minorEastAsia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theme="minorEastAsia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default" w:ascii="Cambria Math" w:hAnsi="Cambria Math" w:cstheme="minorEastAsia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theme="minorEastAsia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default" w:ascii="Cambria Math" w:hAnsi="Cambria Math" w:cstheme="minorEastAsia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 w:cstheme="minorEastAsia"/>
          <w:i w:val="0"/>
          <w:sz w:val="24"/>
          <w:szCs w:val="24"/>
          <w:lang w:val="en-US" w:eastAsia="zh-CN"/>
        </w:rPr>
        <w:t>表示第</w:t>
      </w:r>
      <m:oMath>
        <m:r>
          <m:rPr/>
          <w:rPr>
            <w:rFonts w:hint="default" w:ascii="Cambria Math" w:hAnsi="Cambria Math" w:cstheme="minorEastAsia"/>
            <w:sz w:val="24"/>
            <w:szCs w:val="24"/>
            <w:lang w:val="en-US" w:eastAsia="zh-CN"/>
          </w:rPr>
          <m:t>t</m:t>
        </m:r>
      </m:oMath>
      <w:r>
        <w:rPr>
          <w:rFonts w:hint="eastAsia" w:hAnsi="Cambria Math" w:cstheme="minorEastAsia"/>
          <w:i w:val="0"/>
          <w:sz w:val="24"/>
          <w:szCs w:val="24"/>
          <w:lang w:val="en-US" w:eastAsia="zh-CN"/>
        </w:rPr>
        <w:t>天原油的价格，</w:t>
      </w:r>
      <m:oMath>
        <m:sSub>
          <m:sSubPr>
            <m:ctrlPr>
              <w:rPr>
                <w:rFonts w:hint="default" w:ascii="Cambria Math" w:hAnsi="Cambria Math" w:cs="Cambria Math"/>
                <w:b w:val="0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default" w:ascii="Cambria Math" w:hAnsi="Cambria Math" w:cs="Cambria Math"/>
                <w:b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default" w:ascii="Cambria Math" w:hAnsi="Cambria Math" w:cs="Cambria Math"/>
                <w:b w:val="0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 w:cs="Cambria Math"/>
          <w:b w:val="0"/>
          <w:i w:val="0"/>
          <w:sz w:val="24"/>
          <w:szCs w:val="24"/>
          <w:lang w:val="en-US" w:eastAsia="zh-CN"/>
        </w:rPr>
        <w:t>表示第</w:t>
      </w:r>
      <m:oMath>
        <m:r>
          <m:rPr/>
          <w:rPr>
            <w:rFonts w:hint="default" w:ascii="Cambria Math" w:hAnsi="Cambria Math" w:cstheme="minorEastAsia"/>
            <w:sz w:val="24"/>
            <w:szCs w:val="24"/>
            <w:lang w:val="en-US" w:eastAsia="zh-CN"/>
          </w:rPr>
          <m:t>t</m:t>
        </m:r>
      </m:oMath>
      <w:r>
        <w:rPr>
          <w:rFonts w:hint="eastAsia" w:hAnsi="Cambria Math" w:cstheme="minorEastAsia"/>
          <w:i w:val="0"/>
          <w:sz w:val="24"/>
          <w:szCs w:val="24"/>
          <w:lang w:val="en-US" w:eastAsia="zh-CN"/>
        </w:rPr>
        <w:t>天原油的需求，</w:t>
      </w:r>
      <m:oMath>
        <m:sSub>
          <m:sSubPr>
            <m:ctrlPr>
              <w:rPr>
                <w:rFonts w:hint="default" w:ascii="Cambria Math" w:hAnsi="Cambria Math" w:cs="Cambria Math"/>
                <w:b w:val="0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S</m:t>
            </m:r>
            <m:ctrlPr>
              <w:rPr>
                <w:rFonts w:hint="default" w:ascii="Cambria Math" w:hAnsi="Cambria Math" w:cs="Cambria Math"/>
                <w:b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default" w:ascii="Cambria Math" w:hAnsi="Cambria Math" w:cs="Cambria Math"/>
                <w:b w:val="0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 w:cs="Cambria Math"/>
          <w:b w:val="0"/>
          <w:i w:val="0"/>
          <w:sz w:val="24"/>
          <w:szCs w:val="24"/>
          <w:lang w:val="en-US" w:eastAsia="zh-CN"/>
        </w:rPr>
        <w:t>表示第</w:t>
      </w:r>
      <m:oMath>
        <m:r>
          <m:rPr/>
          <w:rPr>
            <w:rFonts w:hint="default" w:ascii="Cambria Math" w:hAnsi="Cambria Math" w:cstheme="minorEastAsia"/>
            <w:sz w:val="24"/>
            <w:szCs w:val="24"/>
            <w:lang w:val="en-US" w:eastAsia="zh-CN"/>
          </w:rPr>
          <m:t>t</m:t>
        </m:r>
      </m:oMath>
      <w:r>
        <w:rPr>
          <w:rFonts w:hint="eastAsia" w:hAnsi="Cambria Math" w:cstheme="minorEastAsia"/>
          <w:i w:val="0"/>
          <w:sz w:val="24"/>
          <w:szCs w:val="24"/>
          <w:lang w:val="en-US" w:eastAsia="zh-CN"/>
        </w:rPr>
        <w:t>天原油的供应，</w:t>
      </w:r>
      <m:oMath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β</m:t>
        </m:r>
      </m:oMath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>为受价格弹性、战争恐慌等影响的系数。</w:t>
      </w:r>
    </w:p>
    <w:p w14:paraId="5FA33BE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360" w:lineRule="auto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任务2：中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长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期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油价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调节模型（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0-180天）</w:t>
      </w:r>
    </w:p>
    <w:p w14:paraId="6274CB7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如果霍尔木兹海峡继续封锁，封锁时间到90-180天，预测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油价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在此期间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变化情况，以及它的价格平衡点在哪里？需要考虑包括但不限于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以下因素：</w:t>
      </w:r>
    </w:p>
    <w:p w14:paraId="695A1C2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其他产油国增产：美国、OPEC剩余产能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，但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响应延迟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5A50BF4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长期需求价格弹性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和短期的价格弹性会不一样；</w:t>
      </w:r>
    </w:p>
    <w:p w14:paraId="6FB98D79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阿联酋于2026年5月1日宣布退出OPEC+，计划大幅增产，但运输瓶颈限制实际效果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403C24A7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各种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库存消耗殆尽后的价格“跳变”风险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bookmarkStart w:id="0" w:name="_GoBack"/>
      <w:bookmarkEnd w:id="0"/>
    </w:p>
    <w:p w14:paraId="2FA2870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C57E6F"/>
    <w:multiLevelType w:val="singleLevel"/>
    <w:tmpl w:val="F6C57E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43673AD"/>
    <w:multiLevelType w:val="singleLevel"/>
    <w:tmpl w:val="143673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AB0750D"/>
    <w:multiLevelType w:val="singleLevel"/>
    <w:tmpl w:val="5AB075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C7738"/>
    <w:rsid w:val="003F25E9"/>
    <w:rsid w:val="0084035B"/>
    <w:rsid w:val="097A6637"/>
    <w:rsid w:val="19A83162"/>
    <w:rsid w:val="218A4C2A"/>
    <w:rsid w:val="23A07CB2"/>
    <w:rsid w:val="290C7738"/>
    <w:rsid w:val="2E3A195C"/>
    <w:rsid w:val="2E5B1ED6"/>
    <w:rsid w:val="46242ACC"/>
    <w:rsid w:val="59CC52AE"/>
    <w:rsid w:val="5BBF2F76"/>
    <w:rsid w:val="7E58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1621</Words>
  <Characters>1807</Characters>
  <Lines>0</Lines>
  <Paragraphs>0</Paragraphs>
  <TotalTime>0</TotalTime>
  <ScaleCrop>false</ScaleCrop>
  <LinksUpToDate>false</LinksUpToDate>
  <CharactersWithSpaces>1816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2026-05-03T13:20:00Z</dcterms:created>
  <dc:creator>李银飞</dc:creator>
  <cp:lastModifiedBy>李银飞</cp:lastModifiedBy>
  <dcterms:modified xsi:type="dcterms:W3CDTF">2026-06-02T11:39:53Z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EFEB5AF44F284D2D808082AB9DF4F1B9_11</vt:lpwstr>
  </property>
  <property fmtid="{D5CDD505-2E9C-101B-9397-08002B2CF9AE}" pid="4" name="KSOTemplateDocerSaveRecord">
    <vt:lpwstr>eyJoZGlkIjoiZThhOGEzYTQwZWI3ZGQ4NmI2NTkwZTY2YTI0Yzg0MWQiLCJ1c2VySWQiOiIxNDQ5MjQ2MTUzIn0=</vt:lpwstr>
  </property>
</Properties>
</file>