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4"/>
          <w:szCs w:val="34"/>
        </w:rPr>
        <w:t xml:space="preserve">REGLAMENTO INTERNO Y CÓDIGO DE CONVIVENCIA</w:t>
      </w:r>
    </w:p>
    <w:p>
      <w:pPr>
        <w:spacing w:after="40"/>
        <w:jc w:val="center"/>
      </w:pPr>
      <w:r>
        <w:rPr>
          <w:i/>
          <w:iCs/>
          <w:color w:val="1A1A1A"/>
          <w:sz w:val="24"/>
          <w:szCs w:val="24"/>
        </w:rPr>
        <w:t xml:space="preserve">Programa de Liderazgo Juvenil</w:t>
      </w:r>
    </w:p>
    <w:p>
      <w:pPr>
        <w:spacing w:after="220"/>
        <w:jc w:val="center"/>
      </w:pPr>
      <w:r>
        <w:rPr>
          <w:color w:val="555555"/>
          <w:sz w:val="19"/>
          <w:szCs w:val="19"/>
        </w:rPr>
        <w:t xml:space="preserve">Casa Autor Ingeniería y Diseño</w:t>
      </w:r>
    </w:p>
    <w:p>
      <w:pPr>
        <w:pBdr>
          <w:bottom w:val="single" w:color="1F4E5F" w:sz="8" w:space="1"/>
        </w:pBdr>
        <w:spacing w:after="260"/>
      </w:pPr>
    </w:p>
    <w:p>
      <w:pPr>
        <w:spacing w:after="300" w:line="290"/>
        <w:jc w:val="both"/>
      </w:pPr>
      <w:r>
        <w:rPr>
          <w:color w:val="1A1A1A"/>
          <w:sz w:val="22"/>
          <w:szCs w:val="22"/>
        </w:rPr>
        <w:t xml:space="preserve">Este reglamento establece las normas operativas, disciplinarias y de convivencia de cumplimiento obligatorio para todos los participantes inscritos en el Programa de Liderazgo Juvenil.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6"/>
          <w:szCs w:val="26"/>
        </w:rPr>
        <w:t xml:space="preserve">CAPÍTULO I. ASISTENCIA Y PUNTUALIDAD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1. </w:t>
      </w:r>
      <w:r>
        <w:rPr>
          <w:b/>
          <w:bCs/>
          <w:color w:val="1A1A1A"/>
          <w:sz w:val="22"/>
          <w:szCs w:val="22"/>
        </w:rPr>
        <w:t xml:space="preserve">Tolerancia de Entrada. </w:t>
      </w:r>
      <w:r>
        <w:rPr>
          <w:color w:val="1A1A1A"/>
          <w:sz w:val="22"/>
          <w:szCs w:val="22"/>
        </w:rPr>
        <w:t xml:space="preserve">Las sesiones presenciales inician puntualmente a la hora citada. Se otorga una tolerancia máxima de 10 minutos. La llegada entre el minuto 11 y el 20 se registrará como Retardo (dos retardos equivalen a una falta). Pasado el minuto 20, se considerará Inasistencia Sustantiva; el participante podrá ingresar únicamente en calidad de oyente, perdiendo el derecho a la firma del entregable del día.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2. </w:t>
      </w:r>
      <w:r>
        <w:rPr>
          <w:b/>
          <w:bCs/>
          <w:color w:val="1A1A1A"/>
          <w:sz w:val="22"/>
          <w:szCs w:val="22"/>
        </w:rPr>
        <w:t xml:space="preserve">Límite de Faltas Permitidas. </w:t>
      </w:r>
      <w:r>
        <w:rPr>
          <w:color w:val="1A1A1A"/>
          <w:sz w:val="22"/>
          <w:szCs w:val="22"/>
        </w:rPr>
        <w:t xml:space="preserve">Para obtener el Certificado de Acreditación, el alumno debe cumplir con un mínimo del 83% de asistencia presencial (máximo 1 falta en todo el ciclo de 6 sesiones).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3. </w:t>
      </w:r>
      <w:r>
        <w:rPr>
          <w:b/>
          <w:bCs/>
          <w:color w:val="1A1A1A"/>
          <w:sz w:val="22"/>
          <w:szCs w:val="22"/>
        </w:rPr>
        <w:t xml:space="preserve">Mecanismo de Justificación. </w:t>
      </w:r>
      <w:r>
        <w:rPr>
          <w:color w:val="1A1A1A"/>
          <w:sz w:val="22"/>
          <w:szCs w:val="22"/>
        </w:rPr>
        <w:t xml:space="preserve">Toda inasistencia debe notificarse a la Coordinación con un mínimo de 24 horas de anticipación. Las emergencias médicas o causas de fuerza mayor deberán respaldarse con comprobante oficial en un plazo no mayor a 3 días hábiles posteriores a la sesión. La justificación exime de la sanción disciplinaria, pero no exonera de la entrega del producto táctico correspondiente.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6"/>
          <w:szCs w:val="26"/>
        </w:rPr>
        <w:t xml:space="preserve">CAPÍTULO II. USO DE DISPOSITIVOS ELECTRÓNICOS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4. </w:t>
      </w:r>
      <w:r>
        <w:rPr>
          <w:b/>
          <w:bCs/>
          <w:color w:val="1A1A1A"/>
          <w:sz w:val="22"/>
          <w:szCs w:val="22"/>
        </w:rPr>
        <w:t xml:space="preserve">Estatus Durante Sesión. </w:t>
      </w:r>
      <w:r>
        <w:rPr>
          <w:color w:val="1A1A1A"/>
          <w:sz w:val="22"/>
          <w:szCs w:val="22"/>
        </w:rPr>
        <w:t xml:space="preserve">Teléfonos móviles, tabletas y computadoras deberán permanecer en Modo Silencioso / No Molestar y guardados en mochilas o bolsillos al iniciar cada bloque de taller.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5. </w:t>
      </w:r>
      <w:r>
        <w:rPr>
          <w:b/>
          <w:bCs/>
          <w:color w:val="1A1A1A"/>
          <w:sz w:val="22"/>
          <w:szCs w:val="22"/>
        </w:rPr>
        <w:t xml:space="preserve">Uso Permitido Exclusivo. </w:t>
      </w:r>
      <w:r>
        <w:rPr>
          <w:color w:val="1A1A1A"/>
          <w:sz w:val="22"/>
          <w:szCs w:val="22"/>
        </w:rPr>
        <w:t xml:space="preserve">Los dispositivos se utilizarán únicamente cuando el facilitador lo indique explícitamente para dinámicas de investigación, cronometraje, grabación de pitches o durante los recesos programados.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6. </w:t>
      </w:r>
      <w:r>
        <w:rPr>
          <w:b/>
          <w:bCs/>
          <w:color w:val="1A1A1A"/>
          <w:sz w:val="22"/>
          <w:szCs w:val="22"/>
        </w:rPr>
        <w:t xml:space="preserve">Llamadas de Emergencia. </w:t>
      </w:r>
      <w:r>
        <w:rPr>
          <w:color w:val="1A1A1A"/>
          <w:sz w:val="22"/>
          <w:szCs w:val="22"/>
        </w:rPr>
        <w:t xml:space="preserve">Si un participante espera una llamada de urgencia justificada, deberá notificar al facilitador antes de iniciar la sesión y salir del aula en silencio al recibirla.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6"/>
          <w:szCs w:val="26"/>
        </w:rPr>
        <w:t xml:space="preserve">CAPÍTULO III. CÓDIGO DE CONVIVENCIA Y SEGURIDAD PSICOLÓGICA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7. </w:t>
      </w:r>
      <w:r>
        <w:rPr>
          <w:b/>
          <w:bCs/>
          <w:color w:val="1A1A1A"/>
          <w:sz w:val="22"/>
          <w:szCs w:val="22"/>
        </w:rPr>
        <w:t xml:space="preserve">Confidencialidad (Regla del Espacio Seguro). </w:t>
      </w:r>
      <w:r>
        <w:rPr>
          <w:color w:val="1A1A1A"/>
          <w:sz w:val="22"/>
          <w:szCs w:val="22"/>
        </w:rPr>
        <w:t xml:space="preserve">Todo testimonio o vivencia personal compartida dentro del aula se mantiene bajo estricta confidencialidad entre los integrantes del grupo. Queda prohibida la divulgación de historias ajenas fuera del taller.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8. </w:t>
      </w:r>
      <w:r>
        <w:rPr>
          <w:b/>
          <w:bCs/>
          <w:color w:val="1A1A1A"/>
          <w:sz w:val="22"/>
          <w:szCs w:val="22"/>
        </w:rPr>
        <w:t xml:space="preserve">Tolerancia Cero. </w:t>
      </w:r>
      <w:r>
        <w:rPr>
          <w:color w:val="1A1A1A"/>
          <w:sz w:val="22"/>
          <w:szCs w:val="22"/>
        </w:rPr>
        <w:t xml:space="preserve">Se prohíbe estrictamente cualquier acto de discriminación, acoso, burla, agresión verbal o física hacia compañeros, mentores, facilitadores o personal operativo.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9. </w:t>
      </w:r>
      <w:r>
        <w:rPr>
          <w:b/>
          <w:bCs/>
          <w:color w:val="1A1A1A"/>
          <w:sz w:val="22"/>
          <w:szCs w:val="22"/>
        </w:rPr>
        <w:t xml:space="preserve">Responsabilidad de Insumos. </w:t>
      </w:r>
      <w:r>
        <w:rPr>
          <w:color w:val="1A1A1A"/>
          <w:sz w:val="22"/>
          <w:szCs w:val="22"/>
        </w:rPr>
        <w:t xml:space="preserve">El participante es responsable del uso adecuado de las instalaciones, mobiliario y materiales didácticos provistos. Cualquier daño intencional deberá ser cubierto por el responsable.</w:t>
      </w:r>
    </w:p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6"/>
          <w:szCs w:val="26"/>
        </w:rPr>
        <w:t xml:space="preserve">CAPÍTULO IV. MATRIZ DE FALTAS Y CONSECUENCIAS DIRECTAS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10. </w:t>
      </w:r>
      <w:r>
        <w:rPr>
          <w:b/>
          <w:bCs/>
          <w:color w:val="1A1A1A"/>
          <w:sz w:val="22"/>
          <w:szCs w:val="22"/>
        </w:rPr>
        <w:t xml:space="preserve">Clasificación de Infracciones. </w:t>
      </w:r>
      <w:r>
        <w:rPr>
          <w:color w:val="1A1A1A"/>
          <w:sz w:val="22"/>
          <w:szCs w:val="22"/>
        </w:rPr>
        <w:t xml:space="preserve">Las infracciones a este reglamento se clasifican y sancionan conforme a la siguiente matriz, aplicada de forma directa e inmediata por la Coordinación del programa:</w:t>
      </w:r>
    </w:p>
    <w:p>
      <w:pPr>
        <w:spacing w:after="120"/>
      </w:pPr>
    </w:p>
    <w:tbl>
      <w:tblPr>
        <w:tblW w:type="dxa" w:w="9360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</w:tblPr>
      <w:tblGrid>
        <w:gridCol w:w="1800"/>
        <w:gridCol w:w="3660"/>
        <w:gridCol w:w="3900"/>
      </w:tblGrid>
      <w:tr>
        <w:trPr>
          <w:tblHeader/>
        </w:trPr>
        <w:tc>
          <w:tcPr>
            <w:tcW w:type="dxa" w:w="1800"/>
            <w:shd w:fill="1F4E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660"/>
            <w:shd w:fill="1F4E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de la Infracción</w:t>
            </w:r>
          </w:p>
        </w:tc>
        <w:tc>
          <w:tcPr>
            <w:tcW w:type="dxa" w:w="3900"/>
            <w:shd w:fill="1F4E5F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Consecuencia Directa e Inmediata</w:t>
            </w:r>
          </w:p>
        </w:tc>
      </w:tr>
      <w:tr>
        <w:tc>
          <w:tcPr>
            <w:tcW w:type="dxa" w:w="1800"/>
            <w:shd w:fill="FFF4D6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Falta Leve</w:t>
            </w:r>
          </w:p>
        </w:tc>
        <w:tc>
          <w:tcPr>
            <w:tcW w:type="dxa" w:w="3660"/>
            <w:shd w:fill="FFF4D6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Uso no autorizado del celular en clase.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Llegada con retardo (minuto 11 al 20).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Entrega extemporánea de tareas (menos de 24 horas de desfase).</w:t>
            </w:r>
          </w:p>
        </w:tc>
        <w:tc>
          <w:tcPr>
            <w:tcW w:type="dxa" w:w="3900"/>
            <w:shd w:fill="FFF4D6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Amonestación Verbal: </w:t>
            </w:r>
            <w:r>
              <w:rPr>
                <w:color w:val="1A1A1A"/>
                <w:sz w:val="19"/>
                <w:szCs w:val="19"/>
              </w:rPr>
              <w:t xml:space="preserve">Llamado de atención privado y registro de incidencia en la Bitácora de Control Escolar.</w:t>
            </w:r>
          </w:p>
        </w:tc>
      </w:tr>
      <w:tr>
        <w:tc>
          <w:tcPr>
            <w:tcW w:type="dxa" w:w="1800"/>
            <w:shd w:fill="FDE6D3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Falta Grave</w:t>
            </w:r>
          </w:p>
        </w:tc>
        <w:tc>
          <w:tcPr>
            <w:tcW w:type="dxa" w:w="3660"/>
            <w:shd w:fill="FDE6D3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Reincidencia en faltas leves (3 amonestaciones acumuladas).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Interrupción constante o actitud hostil/apática deliberada.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Acumulación de 2 faltas presenciales.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Falta de contacto injustificada con el Par de Rendición de Cuentas (más de 5 días).</w:t>
            </w:r>
          </w:p>
        </w:tc>
        <w:tc>
          <w:tcPr>
            <w:tcW w:type="dxa" w:w="3900"/>
            <w:shd w:fill="FDE6D3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Carta de Apercibimiento y Pérdida de Acreditación: </w:t>
            </w:r>
            <w:r>
              <w:rPr>
                <w:color w:val="1A1A1A"/>
                <w:sz w:val="19"/>
                <w:szCs w:val="19"/>
              </w:rPr>
              <w:t xml:space="preserve">Pérdida del derecho a diploma oficial; transición a estatus de Oyente Sin Acompañamiento.</w:t>
            </w:r>
          </w:p>
        </w:tc>
      </w:tr>
      <w:tr>
        <w:tc>
          <w:tcPr>
            <w:tcW w:type="dxa" w:w="1800"/>
            <w:shd w:fill="F9D8D6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Falta Gravísima</w:t>
            </w:r>
          </w:p>
        </w:tc>
        <w:tc>
          <w:tcPr>
            <w:tcW w:type="dxa" w:w="3660"/>
            <w:shd w:fill="F9D8D6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Agresión física, verbal o acoso en cualquier modalidad.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Presentarse bajo el efecto de sustancias nocivas o alcohol.</w:t>
            </w:r>
          </w:p>
          <w:p>
            <w:pPr>
              <w:spacing w:after="50"/>
            </w:pPr>
            <w:r>
              <w:rPr>
                <w:color w:val="1A1A1A"/>
                <w:sz w:val="19"/>
                <w:szCs w:val="19"/>
              </w:rPr>
              <w:t xml:space="preserve">•  Filtración de información confidencial o plagio de proyectos.</w:t>
            </w:r>
          </w:p>
        </w:tc>
        <w:tc>
          <w:tcPr>
            <w:tcW w:type="dxa" w:w="3900"/>
            <w:shd w:fill="F9D8D6" w:color="auto" w:val="clear"/>
            <w:tcMar>
              <w:top w:type="dxa" w:w="130"/>
              <w:left w:type="dxa" w:w="110"/>
              <w:bottom w:type="dxa" w:w="130"/>
              <w:right w:type="dxa" w:w="11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Baja Definitiva e Inmediata: </w:t>
            </w:r>
            <w:r>
              <w:rPr>
                <w:color w:val="1A1A1A"/>
                <w:sz w:val="19"/>
                <w:szCs w:val="19"/>
              </w:rPr>
              <w:t xml:space="preserve">Expulsión irrevocable del programa, notificación a la institución de origen y veto de la red de egresados.</w:t>
            </w:r>
          </w:p>
        </w:tc>
      </w:tr>
    </w:tbl>
    <w:p>
      <w:pPr>
        <w:pStyle w:val="Heading1"/>
        <w:pBdr>
          <w:bottom w:val="single" w:color="1F4E5F" w:sz="6" w:space="5"/>
        </w:pBdr>
        <w:spacing w:after="200" w:before="420"/>
      </w:pPr>
      <w:r>
        <w:rPr>
          <w:b/>
          <w:bCs/>
          <w:color w:val="1F4E5F"/>
          <w:sz w:val="26"/>
          <w:szCs w:val="26"/>
        </w:rPr>
        <w:t xml:space="preserve">CAPÍTULO V. MECANISMO DE CONFORMIDAD</w:t>
      </w:r>
    </w:p>
    <w:p>
      <w:pPr>
        <w:spacing w:after="220" w:line="290"/>
        <w:jc w:val="both"/>
      </w:pPr>
      <w:r>
        <w:rPr>
          <w:b/>
          <w:bCs/>
          <w:color w:val="8C3A10"/>
          <w:sz w:val="22"/>
          <w:szCs w:val="22"/>
        </w:rPr>
        <w:t xml:space="preserve">Artículo 11. </w:t>
      </w:r>
      <w:r>
        <w:rPr>
          <w:b/>
          <w:bCs/>
          <w:color w:val="1A1A1A"/>
          <w:sz w:val="22"/>
          <w:szCs w:val="22"/>
        </w:rPr>
        <w:t xml:space="preserve">Aceptación y Firma. </w:t>
      </w:r>
      <w:r>
        <w:rPr>
          <w:color w:val="1A1A1A"/>
          <w:sz w:val="22"/>
          <w:szCs w:val="22"/>
        </w:rPr>
        <w:t xml:space="preserve">La permanencia en el programa implica la aceptación implícita y explícita de este reglamento mediante la firma de la Carta Responsiva de Ingreso, firmada previa al inicio del Módulo 1.</w:t>
      </w:r>
    </w:p>
    <w:p>
      <w:pPr>
        <w:spacing w:after="200"/>
      </w:pPr>
    </w:p>
    <w:tbl>
      <w:tblPr>
        <w:tblW w:type="dxa" w:w="9360"/>
        <w:tblBorders>
          <w:top w:val="single" w:color="1F4E5F" w:sz="6"/>
          <w:left w:val="single" w:color="1F4E5F" w:sz="6"/>
          <w:bottom w:val="single" w:color="1F4E5F" w:sz="6"/>
          <w:right w:val="single" w:color="1F4E5F" w:sz="6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5F4F1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80"/>
              <w:jc w:val="center"/>
            </w:pPr>
            <w:r>
              <w:rPr>
                <w:b/>
                <w:bCs/>
                <w:color w:val="1F4E5F"/>
                <w:sz w:val="23"/>
                <w:szCs w:val="23"/>
              </w:rPr>
              <w:t xml:space="preserve">CONSTANCIA DE ACEPTACIÓN</w:t>
            </w:r>
          </w:p>
          <w:p>
            <w:pPr>
              <w:spacing w:after="260" w:line="288"/>
              <w:jc w:val="both"/>
            </w:pPr>
            <w:r>
              <w:rPr>
                <w:sz w:val="21"/>
                <w:szCs w:val="21"/>
              </w:rPr>
              <w:t xml:space="preserve">Declaro haber leído, comprendido y aceptado en su totalidad el presente Reglamento Interno y Código de Convivencia del Programa de Liderazgo Juvenil, comprometiéndome a su cumplimiento durante todo el ciclo formativo.</w:t>
            </w:r>
          </w:p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 completo del participante: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_______________________________________________</w:t>
            </w:r>
          </w:p>
          <w:p>
            <w:pPr>
              <w:spacing w:after="28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Firma: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  </w:t>
            </w: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Fecha: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</w:t>
            </w:r>
          </w:p>
          <w:p>
            <w:pPr>
              <w:spacing w:after="40"/>
            </w:pPr>
            <w:r>
              <w:rPr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Solo si el participante es menor de edad:</w:t>
            </w:r>
          </w:p>
          <w:p>
            <w:pPr>
              <w:spacing w:after="7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Nombre del padre, madre o tutor: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_______________________________________</w:t>
            </w:r>
          </w:p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Firma: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_____________________________  </w:t>
            </w: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Fecha: </w:t>
            </w: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Reglamento Interno y Código de Convivencia — Programa de Liderazgo Juvenil   |  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2026-09-03T00:33:07.821Z</dcterms:created>
  <dcterms:modified xsi:type="dcterms:W3CDTF">2026-09-03T00:33:07.821Z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