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ESTRUCTURA DEL REPOSITORIO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Pr>
        <w:drawing>
          <wp:inline distB="114300" distT="114300" distL="114300" distR="114300">
            <wp:extent cx="5062538" cy="3518208"/>
            <wp:effectExtent b="0" l="0" r="0" t="0"/>
            <wp:docPr id="1" name="image1.png"/>
            <a:graphic>
              <a:graphicData uri="http://schemas.openxmlformats.org/drawingml/2006/picture">
                <pic:pic>
                  <pic:nvPicPr>
                    <pic:cNvPr id="0" name="image1.png"/>
                    <pic:cNvPicPr preferRelativeResize="0"/>
                  </pic:nvPicPr>
                  <pic:blipFill>
                    <a:blip r:embed="rId6"/>
                    <a:srcRect b="14925" l="0" r="0" t="8661"/>
                    <a:stretch>
                      <a:fillRect/>
                    </a:stretch>
                  </pic:blipFill>
                  <pic:spPr>
                    <a:xfrm>
                      <a:off x="0" y="0"/>
                      <a:ext cx="5062538" cy="351820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docs: </w:t>
      </w:r>
      <w:r w:rsidDel="00000000" w:rsidR="00000000" w:rsidRPr="00000000">
        <w:rPr>
          <w:rtl w:val="0"/>
        </w:rPr>
        <w:t xml:space="preserve">Directorio con documentación sobre el proyecto.</w:t>
      </w:r>
    </w:p>
    <w:p w:rsidR="00000000" w:rsidDel="00000000" w:rsidP="00000000" w:rsidRDefault="00000000" w:rsidRPr="00000000" w14:paraId="00000007">
      <w:pPr>
        <w:jc w:val="both"/>
        <w:rPr/>
      </w:pPr>
      <w:r w:rsidDel="00000000" w:rsidR="00000000" w:rsidRPr="00000000">
        <w:rPr>
          <w:b w:val="1"/>
          <w:rtl w:val="0"/>
        </w:rPr>
        <w:t xml:space="preserve">tecWebPage: </w:t>
      </w:r>
      <w:r w:rsidDel="00000000" w:rsidR="00000000" w:rsidRPr="00000000">
        <w:rPr>
          <w:rtl w:val="0"/>
        </w:rPr>
        <w:t xml:space="preserve">Directorio raíz del sitio web informativo.</w:t>
      </w: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tecWebPage/views: </w:t>
      </w:r>
      <w:r w:rsidDel="00000000" w:rsidR="00000000" w:rsidRPr="00000000">
        <w:rPr>
          <w:rtl w:val="0"/>
        </w:rPr>
        <w:t xml:space="preserve">Directorio con páginas web o archivos HTML.</w:t>
      </w:r>
    </w:p>
    <w:p w:rsidR="00000000" w:rsidDel="00000000" w:rsidP="00000000" w:rsidRDefault="00000000" w:rsidRPr="00000000" w14:paraId="00000009">
      <w:pPr>
        <w:jc w:val="both"/>
        <w:rPr/>
      </w:pPr>
      <w:r w:rsidDel="00000000" w:rsidR="00000000" w:rsidRPr="00000000">
        <w:rPr>
          <w:b w:val="1"/>
          <w:rtl w:val="0"/>
        </w:rPr>
        <w:t xml:space="preserve">tecWebPage/styles: </w:t>
      </w:r>
      <w:r w:rsidDel="00000000" w:rsidR="00000000" w:rsidRPr="00000000">
        <w:rPr>
          <w:rtl w:val="0"/>
        </w:rPr>
        <w:t xml:space="preserve">Directorio con los estilos(CSS) del sitio web.</w:t>
      </w:r>
    </w:p>
    <w:p w:rsidR="00000000" w:rsidDel="00000000" w:rsidP="00000000" w:rsidRDefault="00000000" w:rsidRPr="00000000" w14:paraId="0000000A">
      <w:pPr>
        <w:jc w:val="both"/>
        <w:rPr/>
      </w:pPr>
      <w:r w:rsidDel="00000000" w:rsidR="00000000" w:rsidRPr="00000000">
        <w:rPr>
          <w:b w:val="1"/>
          <w:rtl w:val="0"/>
        </w:rPr>
        <w:t xml:space="preserve">tecWebPage/src: </w:t>
      </w:r>
      <w:r w:rsidDel="00000000" w:rsidR="00000000" w:rsidRPr="00000000">
        <w:rPr>
          <w:rtl w:val="0"/>
        </w:rPr>
        <w:t xml:space="preserve">Directorio dedicado a recursos multimedia del sitio w  eb.</w:t>
      </w:r>
    </w:p>
    <w:p w:rsidR="00000000" w:rsidDel="00000000" w:rsidP="00000000" w:rsidRDefault="00000000" w:rsidRPr="00000000" w14:paraId="0000000B">
      <w:pPr>
        <w:jc w:val="both"/>
        <w:rPr/>
      </w:pPr>
      <w:r w:rsidDel="00000000" w:rsidR="00000000" w:rsidRPr="00000000">
        <w:rPr>
          <w:b w:val="1"/>
          <w:rtl w:val="0"/>
        </w:rPr>
        <w:t xml:space="preserve">tecWebPage/src/images: </w:t>
      </w:r>
      <w:r w:rsidDel="00000000" w:rsidR="00000000" w:rsidRPr="00000000">
        <w:rPr>
          <w:rtl w:val="0"/>
        </w:rPr>
        <w:t xml:space="preserve">Directorio utilizado para imágenes,</w:t>
      </w: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Nombres de las Ramas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b w:val="1"/>
          <w:u w:val="none"/>
        </w:rPr>
      </w:pPr>
      <w:r w:rsidDel="00000000" w:rsidR="00000000" w:rsidRPr="00000000">
        <w:rPr>
          <w:b w:val="1"/>
          <w:rtl w:val="0"/>
        </w:rPr>
        <w:t xml:space="preserve">feature/conocenos</w:t>
      </w:r>
    </w:p>
    <w:p w:rsidR="00000000" w:rsidDel="00000000" w:rsidP="00000000" w:rsidRDefault="00000000" w:rsidRPr="00000000" w14:paraId="00000010">
      <w:pPr>
        <w:numPr>
          <w:ilvl w:val="0"/>
          <w:numId w:val="1"/>
        </w:numPr>
        <w:ind w:left="720" w:hanging="360"/>
        <w:jc w:val="both"/>
        <w:rPr>
          <w:b w:val="1"/>
        </w:rPr>
      </w:pPr>
      <w:r w:rsidDel="00000000" w:rsidR="00000000" w:rsidRPr="00000000">
        <w:rPr>
          <w:b w:val="1"/>
          <w:rtl w:val="0"/>
        </w:rPr>
        <w:t xml:space="preserve">feature/oferta-educativa</w:t>
      </w:r>
      <w:r w:rsidDel="00000000" w:rsidR="00000000" w:rsidRPr="00000000">
        <w:rPr>
          <w:rtl w:val="0"/>
        </w:rPr>
      </w:r>
    </w:p>
    <w:p w:rsidR="00000000" w:rsidDel="00000000" w:rsidP="00000000" w:rsidRDefault="00000000" w:rsidRPr="00000000" w14:paraId="00000011">
      <w:pPr>
        <w:numPr>
          <w:ilvl w:val="0"/>
          <w:numId w:val="1"/>
        </w:numPr>
        <w:ind w:left="720" w:hanging="360"/>
        <w:rPr>
          <w:b w:val="1"/>
          <w:u w:val="none"/>
        </w:rPr>
      </w:pPr>
      <w:r w:rsidDel="00000000" w:rsidR="00000000" w:rsidRPr="00000000">
        <w:rPr>
          <w:b w:val="1"/>
          <w:rtl w:val="0"/>
        </w:rPr>
        <w:t xml:space="preserve">feature/servicios</w:t>
      </w:r>
    </w:p>
    <w:p w:rsidR="00000000" w:rsidDel="00000000" w:rsidP="00000000" w:rsidRDefault="00000000" w:rsidRPr="00000000" w14:paraId="00000012">
      <w:pPr>
        <w:numPr>
          <w:ilvl w:val="0"/>
          <w:numId w:val="1"/>
        </w:numPr>
        <w:ind w:left="720" w:hanging="360"/>
        <w:jc w:val="both"/>
        <w:rPr>
          <w:b w:val="1"/>
          <w:u w:val="none"/>
        </w:rPr>
      </w:pPr>
      <w:r w:rsidDel="00000000" w:rsidR="00000000" w:rsidRPr="00000000">
        <w:rPr>
          <w:b w:val="1"/>
          <w:rtl w:val="0"/>
        </w:rPr>
        <w:t xml:space="preserve">feature/faq</w:t>
      </w:r>
    </w:p>
    <w:p w:rsidR="00000000" w:rsidDel="00000000" w:rsidP="00000000" w:rsidRDefault="00000000" w:rsidRPr="00000000" w14:paraId="00000013">
      <w:pPr>
        <w:ind w:left="0" w:firstLine="0"/>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sz w:val="28"/>
          <w:szCs w:val="28"/>
        </w:rPr>
      </w:pPr>
      <w:r w:rsidDel="00000000" w:rsidR="00000000" w:rsidRPr="00000000">
        <w:rPr>
          <w:b w:val="1"/>
          <w:sz w:val="28"/>
          <w:szCs w:val="28"/>
          <w:rtl w:val="0"/>
        </w:rPr>
        <w:t xml:space="preserve">ESTÁNDAR DE USO DEL REPOSITORIO</w:t>
      </w:r>
    </w:p>
    <w:p w:rsidR="00000000" w:rsidDel="00000000" w:rsidP="00000000" w:rsidRDefault="00000000" w:rsidRPr="00000000" w14:paraId="00000016">
      <w:pPr>
        <w:jc w:val="both"/>
        <w:rPr>
          <w:b w:val="1"/>
          <w:sz w:val="26"/>
          <w:szCs w:val="26"/>
        </w:rPr>
      </w:pPr>
      <w:r w:rsidDel="00000000" w:rsidR="00000000" w:rsidRPr="00000000">
        <w:rPr>
          <w:rtl w:val="0"/>
        </w:rPr>
      </w:r>
    </w:p>
    <w:p w:rsidR="00000000" w:rsidDel="00000000" w:rsidP="00000000" w:rsidRDefault="00000000" w:rsidRPr="00000000" w14:paraId="00000017">
      <w:pPr>
        <w:jc w:val="both"/>
        <w:rPr>
          <w:b w:val="1"/>
          <w:sz w:val="26"/>
          <w:szCs w:val="26"/>
        </w:rPr>
      </w:pPr>
      <w:r w:rsidDel="00000000" w:rsidR="00000000" w:rsidRPr="00000000">
        <w:rPr>
          <w:b w:val="1"/>
          <w:sz w:val="26"/>
          <w:szCs w:val="26"/>
          <w:rtl w:val="0"/>
        </w:rPr>
        <w:t xml:space="preserve">Reglas de nombres</w:t>
      </w:r>
    </w:p>
    <w:p w:rsidR="00000000" w:rsidDel="00000000" w:rsidP="00000000" w:rsidRDefault="00000000" w:rsidRPr="00000000" w14:paraId="00000018">
      <w:pPr>
        <w:jc w:val="both"/>
        <w:rPr/>
      </w:pPr>
      <w:r w:rsidDel="00000000" w:rsidR="00000000" w:rsidRPr="00000000">
        <w:rPr>
          <w:rtl w:val="0"/>
        </w:rPr>
        <w:t xml:space="preserve">La convención de nomenclatura para nombrar los archivos será como sigue: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20250000_nombre_v0.extensión</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La cual implica el año, mes, y día presentes en la primera parte, en ese orden y con números. Luego, el nombre propio del archivo en la segunda parte. Finalmente, la versión del archivo con número. Se usará esta nomenclatura en todos los archivos que sean de documentación. En el presente caso, por ejemplo:</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sz w:val="26"/>
          <w:szCs w:val="26"/>
        </w:rPr>
      </w:pPr>
      <w:r w:rsidDel="00000000" w:rsidR="00000000" w:rsidRPr="00000000">
        <w:rPr>
          <w:rtl w:val="0"/>
        </w:rPr>
        <w:t xml:space="preserve">20250918_estructura_v1.docx</w:t>
      </w:r>
      <w:r w:rsidDel="00000000" w:rsidR="00000000" w:rsidRPr="00000000">
        <w:rPr>
          <w:rtl w:val="0"/>
        </w:rPr>
      </w:r>
    </w:p>
    <w:p w:rsidR="00000000" w:rsidDel="00000000" w:rsidP="00000000" w:rsidRDefault="00000000" w:rsidRPr="00000000" w14:paraId="0000001F">
      <w:pPr>
        <w:jc w:val="both"/>
        <w:rPr>
          <w:b w:val="1"/>
          <w:sz w:val="26"/>
          <w:szCs w:val="26"/>
        </w:rPr>
      </w:pPr>
      <w:r w:rsidDel="00000000" w:rsidR="00000000" w:rsidRPr="00000000">
        <w:rPr>
          <w:b w:val="1"/>
          <w:sz w:val="26"/>
          <w:szCs w:val="26"/>
          <w:rtl w:val="0"/>
        </w:rPr>
        <w:t xml:space="preserve">Reglas de versiones</w:t>
      </w:r>
    </w:p>
    <w:p w:rsidR="00000000" w:rsidDel="00000000" w:rsidP="00000000" w:rsidRDefault="00000000" w:rsidRPr="00000000" w14:paraId="00000020">
      <w:pPr>
        <w:numPr>
          <w:ilvl w:val="0"/>
          <w:numId w:val="2"/>
        </w:numPr>
        <w:ind w:left="720" w:hanging="360"/>
        <w:jc w:val="both"/>
        <w:rPr>
          <w:u w:val="none"/>
        </w:rPr>
      </w:pPr>
      <w:r w:rsidDel="00000000" w:rsidR="00000000" w:rsidRPr="00000000">
        <w:rPr>
          <w:rtl w:val="0"/>
        </w:rPr>
      </w:r>
    </w:p>
    <w:p w:rsidR="00000000" w:rsidDel="00000000" w:rsidP="00000000" w:rsidRDefault="00000000" w:rsidRPr="00000000" w14:paraId="00000021">
      <w:pPr>
        <w:jc w:val="both"/>
        <w:rPr>
          <w:b w:val="1"/>
          <w:sz w:val="28"/>
          <w:szCs w:val="28"/>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Reglas para comentar COMMITS</w:t>
      </w:r>
    </w:p>
    <w:p w:rsidR="00000000" w:rsidDel="00000000" w:rsidP="00000000" w:rsidRDefault="00000000" w:rsidRPr="00000000" w14:paraId="00000023">
      <w:pPr>
        <w:jc w:val="both"/>
        <w:rPr>
          <w:b w:val="1"/>
          <w:sz w:val="24"/>
          <w:szCs w:val="24"/>
        </w:rPr>
      </w:pPr>
      <w:r w:rsidDel="00000000" w:rsidR="00000000" w:rsidRPr="00000000">
        <w:rPr>
          <w:rtl w:val="0"/>
        </w:rPr>
      </w:r>
    </w:p>
    <w:p w:rsidR="00000000" w:rsidDel="00000000" w:rsidP="00000000" w:rsidRDefault="00000000" w:rsidRPr="00000000" w14:paraId="00000024">
      <w:pPr>
        <w:numPr>
          <w:ilvl w:val="0"/>
          <w:numId w:val="3"/>
        </w:numPr>
        <w:ind w:left="720" w:hanging="360"/>
        <w:jc w:val="both"/>
        <w:rPr>
          <w:u w:val="none"/>
        </w:rPr>
      </w:pPr>
      <w:r w:rsidDel="00000000" w:rsidR="00000000" w:rsidRPr="00000000">
        <w:rPr>
          <w:rtl w:val="0"/>
        </w:rPr>
        <w:t xml:space="preserve">Usar verbo en infinitivo (ej.: añadir, cambiar, arreglar, eliminar).</w:t>
      </w:r>
    </w:p>
    <w:p w:rsidR="00000000" w:rsidDel="00000000" w:rsidP="00000000" w:rsidRDefault="00000000" w:rsidRPr="00000000" w14:paraId="00000025">
      <w:pPr>
        <w:numPr>
          <w:ilvl w:val="0"/>
          <w:numId w:val="3"/>
        </w:numPr>
        <w:ind w:left="720" w:hanging="360"/>
        <w:jc w:val="both"/>
        <w:rPr>
          <w:u w:val="none"/>
        </w:rPr>
      </w:pPr>
      <w:r w:rsidDel="00000000" w:rsidR="00000000" w:rsidRPr="00000000">
        <w:rPr>
          <w:rtl w:val="0"/>
        </w:rPr>
        <w:t xml:space="preserve">No usar punto final ni puntos suspensivos en el subject.</w:t>
      </w:r>
    </w:p>
    <w:p w:rsidR="00000000" w:rsidDel="00000000" w:rsidP="00000000" w:rsidRDefault="00000000" w:rsidRPr="00000000" w14:paraId="00000026">
      <w:pPr>
        <w:numPr>
          <w:ilvl w:val="0"/>
          <w:numId w:val="3"/>
        </w:numPr>
        <w:ind w:left="720" w:hanging="360"/>
        <w:jc w:val="both"/>
        <w:rPr>
          <w:u w:val="none"/>
        </w:rPr>
      </w:pPr>
      <w:r w:rsidDel="00000000" w:rsidR="00000000" w:rsidRPr="00000000">
        <w:rPr>
          <w:rtl w:val="0"/>
        </w:rPr>
        <w:t xml:space="preserve">Limitar el subject a máximo ~50 caracteres.</w:t>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rtl w:val="0"/>
        </w:rPr>
        <w:t xml:space="preserve">Separar el subject del body con una línea en blanco.</w:t>
      </w:r>
    </w:p>
    <w:p w:rsidR="00000000" w:rsidDel="00000000" w:rsidP="00000000" w:rsidRDefault="00000000" w:rsidRPr="00000000" w14:paraId="00000028">
      <w:pPr>
        <w:numPr>
          <w:ilvl w:val="0"/>
          <w:numId w:val="3"/>
        </w:numPr>
        <w:ind w:left="720" w:hanging="360"/>
        <w:jc w:val="both"/>
        <w:rPr>
          <w:u w:val="none"/>
        </w:rPr>
      </w:pPr>
      <w:r w:rsidDel="00000000" w:rsidR="00000000" w:rsidRPr="00000000">
        <w:rPr>
          <w:rtl w:val="0"/>
        </w:rPr>
        <w:t xml:space="preserve">Cuando haga falta, añadir un body que explique qué y por qué (no cómo).</w:t>
      </w:r>
    </w:p>
    <w:p w:rsidR="00000000" w:rsidDel="00000000" w:rsidP="00000000" w:rsidRDefault="00000000" w:rsidRPr="00000000" w14:paraId="00000029">
      <w:pPr>
        <w:numPr>
          <w:ilvl w:val="0"/>
          <w:numId w:val="3"/>
        </w:numPr>
        <w:ind w:left="720" w:hanging="360"/>
        <w:jc w:val="both"/>
        <w:rPr>
          <w:u w:val="none"/>
        </w:rPr>
      </w:pPr>
      <w:r w:rsidDel="00000000" w:rsidR="00000000" w:rsidRPr="00000000">
        <w:rPr>
          <w:rtl w:val="0"/>
        </w:rPr>
        <w:t xml:space="preserve">Envolver las líneas del body a ~72 caracteres por línea.</w:t>
      </w:r>
    </w:p>
    <w:p w:rsidR="00000000" w:rsidDel="00000000" w:rsidP="00000000" w:rsidRDefault="00000000" w:rsidRPr="00000000" w14:paraId="0000002A">
      <w:pPr>
        <w:numPr>
          <w:ilvl w:val="0"/>
          <w:numId w:val="3"/>
        </w:numPr>
        <w:ind w:left="720" w:hanging="360"/>
        <w:jc w:val="both"/>
        <w:rPr>
          <w:u w:val="none"/>
        </w:rPr>
      </w:pPr>
      <w:r w:rsidDel="00000000" w:rsidR="00000000" w:rsidRPr="00000000">
        <w:rPr>
          <w:rtl w:val="0"/>
        </w:rPr>
        <w:t xml:space="preserve">Usar prefijos o referencias cuando corresponda (por ejemplo issues/PRs).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