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1296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Mini Project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Trained 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>Artifact Link: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 xml:space="preserve">submission.csv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 (Russell and Norvig 2020).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Historically, the pursuit of AI has 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Traditional Artificial </w:t>
      </w:r>
      <w:r>
        <w:rPr>
          <w:rFonts w:ascii="Helvetica" w:hAnsi="Helvetica" w:eastAsia="Helvetica"/>
          <w:b/>
          <w:i w:val="0"/>
          <w:color w:val="333333"/>
          <w:sz w:val="22"/>
        </w:rPr>
        <w:t>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often associated with Soft Computing or Connectionist AI). While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focuses on high-level cognitive functions through symbolic manipulation,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approaches problem-solving from a low-level, biologically-inspired,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data-driven perspective (Engelbrecht 2007).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 (Newell and Simon 1976).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>Inference</w:t>
      </w:r>
    </w:p>
    <w:p>
      <w:pPr>
        <w:sectPr>
          <w:pgSz w:w="11906" w:h="16838"/>
          <w:pgMar w:top="648" w:right="1080" w:bottom="944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 xml:space="preserve">Engine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(which applies logical rules using deductive reasoning mechanisms such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 (McCarthy 1990). They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 absolute certainty and structured inputs; they lack the capacity to process noisy,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ambiguous, or 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Acquisition 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 complex, 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(1994) famously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distinguished CI from traditional AI by stating that a system is computationally intelligent when it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begins to process low-level numeric pattern data, incorporates learning and adaptation,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avoids rigid 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 (Rumelhart, Hinton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Williams 1986). 2. </w:t>
      </w:r>
      <w:r>
        <w:rPr>
          <w:rFonts w:ascii="Helvetica" w:hAnsi="Helvetica" w:eastAsia="Helvetica"/>
          <w:b/>
          <w:i w:val="0"/>
          <w:color w:val="333333"/>
          <w:sz w:val="22"/>
        </w:rPr>
        <w:t>Evolutionary 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biological evolution and genetics (e.g., Genetic Algorithms). They generate optimal solutions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through iterative generation, selection, crossover, and mutation (Holland 1992). 3.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Fuzzy Logic </w:t>
      </w:r>
      <w:r>
        <w:rPr>
          <w:rFonts w:ascii="Helvetica" w:hAnsi="Helvetica" w:eastAsia="Helvetica"/>
          <w:b/>
          <w:i w:val="0"/>
          <w:color w:val="333333"/>
          <w:sz w:val="22"/>
        </w:rPr>
        <w:t>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designed to process "approximate" rather than "exact"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reasoning. Unlike binary Boolean logic, fuzzy logic maps membership inputs to continuous truth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between 0 and 1, simulating human decision-making under uncertainty (Zadeh 1965).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sectPr>
          <w:pgSz w:w="11906" w:h="16838"/>
          <w:pgMar w:top="680" w:right="1104" w:bottom="107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235"/>
        <w:gridCol w:w="3235"/>
        <w:gridCol w:w="3235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6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4" w:lineRule="exact" w:before="264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58" w:after="0"/>
        <w:ind w:left="28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non-linear interaction of attributes (like mapping Latitude/Longitude coordinates onto prices), and</w:t>
      </w:r>
    </w:p>
    <w:p>
      <w:pPr>
        <w:sectPr>
          <w:pgSz w:w="11906" w:h="16838"/>
          <w:pgMar w:top="680" w:right="1074" w:bottom="850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Bezdek, J.C., 1994. What is computational intelligence?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Computational Intelligence: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Imitating Life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pp.1-12.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Engelbrecht, A.P., 2007. </w:t>
      </w:r>
      <w:r>
        <w:rPr>
          <w:rFonts w:ascii="Helvetica" w:hAnsi="Helvetica" w:eastAsia="Helvetica"/>
          <w:b w:val="0"/>
          <w:i/>
          <w:color w:val="333333"/>
          <w:sz w:val="22"/>
        </w:rPr>
        <w:t>Computational intelligence: an introduction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Holland, J.H., 1992. </w:t>
      </w:r>
      <w:r>
        <w:rPr>
          <w:rFonts w:ascii="Helvetica" w:hAnsi="Helvetica" w:eastAsia="Helvetica"/>
          <w:b w:val="0"/>
          <w:i/>
          <w:color w:val="333333"/>
          <w:sz w:val="22"/>
        </w:rPr>
        <w:t>Adaptation in natural and artificial 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MIT press.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McCarthy, J., 1990. Formalizing common sense.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Formalizing Common Sense: Papers by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John McCarthy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pp.93-116.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Newell, A. and Simon, H.A., 1976. Computer science as empirical inquiry: Symbols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search. </w:t>
      </w:r>
      <w:r>
        <w:rPr>
          <w:rFonts w:ascii="Helvetica" w:hAnsi="Helvetica" w:eastAsia="Helvetica"/>
          <w:b w:val="0"/>
          <w:i/>
          <w:color w:val="333333"/>
          <w:sz w:val="22"/>
        </w:rPr>
        <w:t>Communications of the ACM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19(3), pp.113-126.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138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Rumelhart, D.E., Hinton, G.E. and Williams, R.J., 1986. Learning representations by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back-propagating errors. </w:t>
      </w:r>
      <w:r>
        <w:rPr>
          <w:rFonts w:ascii="Helvetica" w:hAnsi="Helvetica" w:eastAsia="Helvetica"/>
          <w:b w:val="0"/>
          <w:i/>
          <w:color w:val="333333"/>
          <w:sz w:val="22"/>
        </w:rPr>
        <w:t>Nature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323(6088), pp.533-536.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39"/>
        <w:gridCol w:w="4839"/>
      </w:tblGrid>
      <w:tr>
        <w:trPr>
          <w:trHeight w:hRule="exact" w:val="1848"/>
        </w:trPr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288" w:right="11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</w:p>
        </w:tc>
        <w:tc>
          <w:tcPr>
            <w:tcW w:type="dxa" w:w="91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4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Russell, S. and Norvig, P., 2020.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Artificial intelligence: a modern approach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. 4th ed. Pearson.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Zadeh, L.A., 1965. Fuzzy sets.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Information and Control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, 8(3), pp.338-353.</w:t>
            </w:r>
          </w:p>
        </w:tc>
      </w:tr>
    </w:tbl>
    <w:p>
      <w:pPr>
        <w:autoSpaceDN w:val="0"/>
        <w:autoSpaceDE w:val="0"/>
        <w:widowControl/>
        <w:spacing w:line="412" w:lineRule="exact" w:before="45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 (Limsombunchao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2004). Historically, real estate mass appraisal has transitioned from rigid, parametric econometric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to flexible, data-driven Computational Intelligence (CI) algorithms. This literature review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evaluates the historical development, methodological frameworks, strengths, and constraints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three dominant paradigms in valuation modeling: Hedonic Pricing Models (HPM),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Ensemble methods (Random Forest and GBDT/XGBoost), and Deep Learning architectures.</w:t>
      </w:r>
    </w:p>
    <w:p>
      <w:pPr>
        <w:sectPr>
          <w:pgSz w:w="11906" w:h="16838"/>
          <w:pgMar w:top="680" w:right="1104" w:bottom="9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(1974)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 (Malpezzi 2003).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primary 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 (Basu and Thibodeau 1998).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 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values are geographically clustered, violating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assumption of independent and identically distributed (i.i.d.) error terms (Fotheringham, Brunsdon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Charlton 2002).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sectPr>
          <w:pgSz w:w="11906" w:h="16838"/>
          <w:pgMar w:top="714" w:right="1104" w:bottom="102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 (2001), the Random Forest (RF) algorithm is an ensemble method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constructs a multitude of decision trees during training. To output a prediction, RF averages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outputs of individual trees (bootstrap aggregation, or bagging), while injecting randomness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selecting a 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studies of mass appraisal, Random Forest consistently outperforms linear OLS. Antipov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(2012) demonstrated that RF handles spatial interactions and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natively without requiring complex variable transformations. Furthermore, because it averages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predictions across hundreds of independent trees, RF exhibits high robustness against overfitting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is insensitive to outliers—a common occurrence in housing datasets containing luxury estates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or 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 (Friedman 2001). Chen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Guestrin (2016) optimized this 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which incorporates a regularized objective function to control model complexity and prevent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overfitting, alongside 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XGBoost have emerged as the state-of-the-art for tabular regression tasks. Mullainathan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Spiess (2017) highlighted that boosting algorithms excel at mapping complex coordinate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interactions (Latitude and Longitude) to local neighborhood values, representing a significant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improvement over traditional dummy variables for submarkets. The algorithm's built-in handling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missing values and computational efficiency make it highly suitable for production-level API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deployment.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 (Hornik, Stinchcombe and White 1989).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(2004) compared OLS and ANNs on housing datasets and concluded that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connectionist approach achieves lower Root Mean Squared Error (RMSE) due to its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ability to model complex structural-spatial interactions.</w:t>
      </w:r>
    </w:p>
    <w:p>
      <w:pPr>
        <w:sectPr>
          <w:pgSz w:w="11906" w:h="16838"/>
          <w:pgMar w:top="680" w:right="1104" w:bottom="87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when applied to tabular datasets of moderate size (e.g., under 50,000 observations).</w:t>
      </w:r>
    </w:p>
    <w:p>
      <w:pPr>
        <w:autoSpaceDN w:val="0"/>
        <w:autoSpaceDE w:val="0"/>
        <w:widowControl/>
        <w:spacing w:line="352" w:lineRule="exact" w:before="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(2022) conducted extensive benchmarks comparing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deep learning architectures to tree ensembles on tabular data, finding that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(like XGBoost and Random Forest) consistently outperform ANNs. Neural networks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highly sensitive to hyperparameter choices, require extensive data normalization, are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6.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Antipov, E.A. and Pokryshevskaya, E.B., 2012. Mass appraisal of residential apartments: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 application of Random Forest. </w:t>
      </w:r>
      <w:r>
        <w:rPr>
          <w:rFonts w:ascii="Helvetica" w:hAnsi="Helvetica" w:eastAsia="Helvetica"/>
          <w:b w:val="0"/>
          <w:i/>
          <w:color w:val="333333"/>
          <w:sz w:val="22"/>
        </w:rPr>
        <w:t>International Journal of Housing Markets and Analysis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5(2), pp.126-139.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Basu, S. and Thibodeau, T.G., 1998. Analysis of spatial autocorrelation in house prices.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Real Estate Finance and Economics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17(1), pp.61-85.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Breiman, L., 2001. Random forests. </w:t>
      </w:r>
      <w:r>
        <w:rPr>
          <w:rFonts w:ascii="Helvetica" w:hAnsi="Helvetica" w:eastAsia="Helvetica"/>
          <w:b w:val="0"/>
          <w:i/>
          <w:color w:val="333333"/>
          <w:sz w:val="22"/>
        </w:rPr>
        <w:t>Machine Learning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45(1), pp.5-32.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Chen, T. and Guestrin, C., 2016. Xgboost: A scalable tree boosting system.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Proceedings of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22nd ACM SIGKDD International Conference on Knowledge Discovery and Data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Mining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pp.785-794.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Fotheringham, A.S., Brunsdon, C. and Charlton, M., 2002.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Geographically weighted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regression: the analysis of spatially varying relationships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sectPr>
          <w:pgSz w:w="11906" w:h="16838"/>
          <w:pgMar w:top="680" w:right="1104" w:bottom="116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Friedman, J.H., 2001. Greedy function approximation: a gradient boosting machine.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Annals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of Statistics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pp.1189-1232.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L., Oyallon, E. and Varoquaux, G., 2022. Why do tree-based models still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outperform deep learning on tabular data?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Advances in Neural Information Processing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35, pp.507-520.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Hornik, K., Stinchcombe, M. and White, H., 1989. Multilayer feedforward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universal approximators. </w:t>
      </w:r>
      <w:r>
        <w:rPr>
          <w:rFonts w:ascii="Helvetica" w:hAnsi="Helvetica" w:eastAsia="Helvetica"/>
          <w:b w:val="0"/>
          <w:i/>
          <w:color w:val="333333"/>
          <w:sz w:val="22"/>
        </w:rPr>
        <w:t>Neural Networks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2(5), pp.359-366.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Limsombunchao, V., 2004. House price prediction: hedonic price model vs. artificial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network. </w:t>
      </w:r>
      <w:r>
        <w:rPr>
          <w:rFonts w:ascii="Helvetica" w:hAnsi="Helvetica" w:eastAsia="Helvetica"/>
          <w:b w:val="0"/>
          <w:i/>
          <w:color w:val="333333"/>
          <w:sz w:val="22"/>
        </w:rPr>
        <w:t>New Zealand Agricultural and Resource Economics Society Conference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pp.25-26.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Malpezzi, S., 2003. Hedonic pricing models: a selective and applied review.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Housing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Economics and Public Policy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pp.67-89.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Mullainathan, S. and Spiess, J., 2017. Machine learning: an applied econometric approach.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Economic Perspectives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31(2), pp.87-106.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Rosen, S., 1974. Hedonic prices and implicit markets: product differentiation in pure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competition. </w:t>
      </w:r>
      <w:r>
        <w:rPr>
          <w:rFonts w:ascii="Helvetica" w:hAnsi="Helvetica" w:eastAsia="Helvetica"/>
          <w:b w:val="0"/>
          <w:i/>
          <w:color w:val="333333"/>
          <w:sz w:val="22"/>
        </w:rPr>
        <w:t>Journal of Political Economy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82(1), pp.34-55.</w:t>
      </w:r>
    </w:p>
    <w:p>
      <w:pPr>
        <w:autoSpaceDN w:val="0"/>
        <w:autoSpaceDE w:val="0"/>
        <w:widowControl/>
        <w:spacing w:line="480" w:lineRule="exact" w:before="1368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sectPr>
          <w:pgSz w:w="11906" w:h="16838"/>
          <w:pgMar w:top="680" w:right="1104" w:bottom="111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 and Outlier Diagnostics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Kernel Density Estimate (KDE) plot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curves to identify skewness and general trends (see Figure 1). To identify specific outlier points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statistical boundaries, boxplots were compiled for all numerical attributes (see Figure 2).</w:t>
      </w:r>
    </w:p>
    <w:p>
      <w:pPr>
        <w:sectPr>
          <w:pgSz w:w="11906" w:h="16838"/>
          <w:pgMar w:top="676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0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3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20" w:right="1134" w:bottom="86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As illustrated in the boxplots (Figure 2),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and rooms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exhibit extreme right-skewed distributions with heavy outlier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tails, including extreme single-value spikes (e.g., maximum occupancy values reaching 1,243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 with no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 points. Because of these spatial and skewed patterns, standard linear scaling would be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heavily distorted by extreme outliers. This influenced the decision to use robust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ensembles (XGBoost and Random Forest) that are rank-based and invariant to monotonic scale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transformations, making them immune to outlier scaling bias.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brackets: 'New' ($\le 15$ years), 'Moderate' ($16-35$ years), and 'Old' ($&gt;35$ years) (see Figure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3).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4).</w:t>
      </w:r>
    </w:p>
    <w:p>
      <w:pPr>
        <w:sectPr>
          <w:pgSz w:w="11906" w:h="16838"/>
          <w:pgMar w:top="720" w:right="1104" w:bottom="7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720" w:right="1104" w:bottom="102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4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6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sectPr>
          <w:pgSz w:w="11906" w:h="16838"/>
          <w:pgMar w:top="676" w:right="1104" w:bottom="96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36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sectPr>
          <w:pgSz w:w="11906" w:h="16838"/>
          <w:pgMar w:top="680" w:right="1104" w:bottom="83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288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990" w:val="left"/>
        </w:tabs>
        <w:autoSpaceDE w:val="0"/>
        <w:widowControl/>
        <w:spacing w:line="304" w:lineRule="exact" w:before="19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predicted prices dynamically with a neon green layout.</w:t>
      </w:r>
    </w:p>
    <w:p>
      <w:pPr>
        <w:autoSpaceDN w:val="0"/>
        <w:autoSpaceDE w:val="0"/>
        <w:widowControl/>
        <w:spacing w:line="412" w:lineRule="exact" w:before="170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115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parameters without massive overfitting.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ratio impacts price) which are inspectable in tree splits but completely hidden in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neural weights.</w:t>
      </w:r>
    </w:p>
    <w:p>
      <w:pPr>
        <w:autoSpaceDN w:val="0"/>
        <w:autoSpaceDE w:val="0"/>
        <w:widowControl/>
        <w:spacing w:line="332" w:lineRule="exact" w:before="108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sectPr>
          <w:pgSz w:w="11906" w:h="16838"/>
          <w:pgMar w:top="680" w:right="1104" w:bottom="102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30" w:val="left"/>
        </w:tabs>
        <w:autoSpaceDE w:val="0"/>
        <w:widowControl/>
        <w:spacing w:line="336" w:lineRule="exact" w:before="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80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