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54" w:firstLine="0"/>
        <w:jc w:val="both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Mini Project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Trained </w:t>
      </w:r>
      <w:r>
        <w:rPr>
          <w:rFonts w:ascii="Helvetica" w:hAnsi="Helvetica" w:eastAsia="Helvetica"/>
          <w:b/>
          <w:i w:val="0"/>
          <w:color w:val="333333"/>
          <w:sz w:val="22"/>
        </w:rPr>
        <w:t>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Artifact Link: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submission.csv</w:t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intelligence. Historically, the pursuit of AI has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>Traditional Artificial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often associated with Soft Computing or Connectionist AI). While Traditional AI focuses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high-level cognitive functions through symbolic manipulation, Computational Intelligence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approaches problem-solving from a low-level, biologically-inspired, and data-driven perspective.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Inference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Engine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(which applies logical rules using deductive reasoning mechanisms such as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sectPr>
          <w:pgSz w:w="11906" w:h="16838"/>
          <w:pgMar w:top="648" w:right="1100" w:bottom="1122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2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brittleness. They require absolute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certainty and structured inputs; they lack the capacity to process noisy, ambiguous, or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Acquisition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in complex,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famously distinguished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CI from traditional AI by stating that a system is computationally intelligent when it begins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process low-level numeric pattern data, incorporates learning and adaptation, and avoids rigid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functions. 2.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Evolutionary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by biological evolution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genetics (e.g., Genetic Algorithms). They generate optimal solutions through iterative generation,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selection, crossover, and mutation. 3. </w:t>
      </w:r>
      <w:r>
        <w:rPr>
          <w:rFonts w:ascii="Helvetica" w:hAnsi="Helvetica" w:eastAsia="Helvetica"/>
          <w:b/>
          <w:i w:val="0"/>
          <w:color w:val="333333"/>
          <w:sz w:val="22"/>
        </w:rPr>
        <w:t>Fuzzy Logic 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designed to process "approximate" rather than "exact" reasoning. Unlike binary Boolean logic,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fuzzy logic maps membership inputs to continuous truth values between 0 and 1, simulating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human decision-making under uncertainty.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p>
      <w:pPr>
        <w:sectPr>
          <w:pgSz w:w="11906" w:h="16838"/>
          <w:pgMar w:top="680" w:right="1104" w:bottom="10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226"/>
        <w:gridCol w:w="3226"/>
        <w:gridCol w:w="3226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6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4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0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6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2" w:lineRule="exact" w:before="26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non-linear interaction of attributes (like mapping Latitude/Longitude coordinates onto prices),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sectPr>
          <w:pgSz w:w="11906" w:h="16838"/>
          <w:pgMar w:top="704" w:right="1104" w:bottom="88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attributes. Historically, real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estate mass appraisal has transitioned from rigid, parametric econometric models to flexible,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data-driven Computational Intelligence (CI) algorithms. This literature review evaluates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 development, methodological frameworks, strengths, and constraints of three dominant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paradigms in valuation modeling: Hedonic Pricing Models (HPM), Tree-Based Ensemble methods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(Random Forest and GBDT/XGBoost), and Deep Learning architectures.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primary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</w:t>
      </w:r>
    </w:p>
    <w:p>
      <w:pPr>
        <w:sectPr>
          <w:pgSz w:w="11906" w:h="16838"/>
          <w:pgMar w:top="666" w:right="1074" w:bottom="80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values are geographically clustered, violating the assumption of independent and identically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distributed (i.i.d.) error terms.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autoSpaceDN w:val="0"/>
        <w:autoSpaceDE w:val="0"/>
        <w:widowControl/>
        <w:spacing w:line="352" w:lineRule="exact" w:before="260" w:after="24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Breiman, the Random Forest (RF) algorithm is an ensemble method that constructs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multitude of decision trees during training. To output a prediction, RF averages the outputs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individual trees (bootstrap aggregation, or bagging), while injecting randomness by selecting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studies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rPr>
          <w:trHeight w:hRule="exact" w:val="352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mass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appraisal,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Random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Forest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consistently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outperforms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linear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OLS.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Antipov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10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demonstrated that RF handles spatial interactions and multicollinearity natively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without requiring complex variable transformations. Furthermore, because it averages predictions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across hundreds of independent trees, RF exhibits high robustness against overfitting and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insensitive to outliers—a common occurrence in housing datasets containing luxury estates 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function. Chen and Guestrin optimized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incorporates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regularized objective function to control model complexity and prevent overfitting, alongside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XGBoost have emerged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state-of-the-art for tabular regression tasks. Mullainathan and Spiess highlighted that boosting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algorithms excel at mapping complex coordinate interactions (Latitude and Longitude) to local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neighborhood values, representing a significant improvement over traditional dummy variables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submarkets. The algorithm's built-in handling of missing values and computational efficiency make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it highly suitable for production-level API deployment.</w:t>
      </w:r>
    </w:p>
    <w:p>
      <w:pPr>
        <w:sectPr>
          <w:pgSz w:w="11906" w:h="16838"/>
          <w:pgMar w:top="680" w:right="1104" w:bottom="7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compared OLS and ANNs on housing datasets and concluded that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approach achieves lower Root Mean Squared Error (RMSE) due to its ability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model complex structural-spatial interactions.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when applied to tabular datasets of moderate size (e.g., under 50,000 observations).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conducted extensive benchmarks comparing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learning architectures to tree ensembles on tabular data, finding that tree-based models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(like XGBoost and Random Forest) consistently outperform ANNs. Neural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sensitive to hyperparameter choices, require extensive data normalization,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480" w:lineRule="exact" w:before="994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sectPr>
          <w:pgSz w:w="11906" w:h="16838"/>
          <w:pgMar w:top="676" w:right="1104" w:bottom="9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 and Outlier Diagnostics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Kernel Density Estimate (KDE) plot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curves to identify skewness and general trends (see Figure 1). To identify specific outlier points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statistical boundaries, boxplots were compiled for all numerical attributes (see Figure 2).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0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3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20" w:right="1134" w:bottom="86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As illustrated in the boxplots (Figure 2),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and rooms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exhibit extreme right-skewed distributions with heavy outlier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tails, including extreme single-value spikes (e.g., maximum occupancy values reaching 1,243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 with no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 points. Because of these spatial and skewed patterns, standard linear scaling would be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heavily distorted by extreme outliers. This influenced the decision to use robust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ensembles (XGBoost and Random Forest) that are rank-based and invariant to monotonic scale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transformations, making them immune to outlier scaling bias.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brackets: 'New' ($\le 15$ years), 'Moderate' ($16-35$ years), and 'Old' ($&gt;35$ years) (see Figure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3).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4).</w:t>
      </w:r>
    </w:p>
    <w:p>
      <w:pPr>
        <w:sectPr>
          <w:pgSz w:w="11906" w:h="16838"/>
          <w:pgMar w:top="720" w:right="1104" w:bottom="7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72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sectPr>
          <w:pgSz w:w="11906" w:h="16838"/>
          <w:pgMar w:top="676" w:right="1104" w:bottom="96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36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sectPr>
          <w:pgSz w:w="11906" w:h="16838"/>
          <w:pgMar w:top="680" w:right="1104" w:bottom="83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04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</w:t>
      </w:r>
    </w:p>
    <w:p>
      <w:pPr>
        <w:autoSpaceDN w:val="0"/>
        <w:autoSpaceDE w:val="0"/>
        <w:widowControl/>
        <w:spacing w:line="304" w:lineRule="exact" w:before="4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Live updates are sent asynchronously to the backend on slider adjust, updating predicted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prices dynamically with a neon green layout.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21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Random Forest Regressor is highly suited for real estate valuation. It is robust to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outliers (which are common in real estate due to luxury housing spikes) and captures the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21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While Deep Learning (e.g. MLPs) can approximate the spatial price function, it is less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parameters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without massive overfitting.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ratio</w:t>
      </w:r>
    </w:p>
    <w:p>
      <w:pPr>
        <w:autoSpaceDN w:val="0"/>
        <w:autoSpaceDE w:val="0"/>
        <w:widowControl/>
        <w:spacing w:line="304" w:lineRule="exact" w:before="4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impacts price) which are inspectable in tree splits but completely hidden in deep neural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weights.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21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training dataset. It cannot predict prices for properties outside these geographical</w:t>
      </w:r>
    </w:p>
    <w:p>
      <w:pPr>
        <w:sectPr>
          <w:pgSz w:w="11906" w:h="16838"/>
          <w:pgMar w:top="680" w:right="1104" w:bottom="8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6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04" w:lineRule="exact" w:before="218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Future</w:t>
      </w:r>
    </w:p>
    <w:p>
      <w:pPr>
        <w:autoSpaceDN w:val="0"/>
        <w:autoSpaceDE w:val="0"/>
        <w:widowControl/>
        <w:spacing w:line="304" w:lineRule="exact" w:before="48" w:after="0"/>
        <w:ind w:left="6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04" w:lineRule="exact" w:before="198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Incorporate SHAP (Shapley Additive exPlanations) values to provide local feature</w:t>
      </w:r>
    </w:p>
    <w:p>
      <w:pPr>
        <w:autoSpaceDN w:val="0"/>
        <w:autoSpaceDE w:val="0"/>
        <w:widowControl/>
        <w:spacing w:line="304" w:lineRule="exact" w:before="48" w:after="0"/>
        <w:ind w:left="6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