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8"/>
        <w:ind w:left="0" w:right="0"/>
      </w:pPr>
    </w:p>
    <w:p>
      <w:pPr>
        <w:autoSpaceDN w:val="0"/>
        <w:autoSpaceDE w:val="0"/>
        <w:widowControl/>
        <w:spacing w:line="552" w:lineRule="exact" w:before="0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COMPREHENSIVE ASSESSMENT REPORT</w:t>
      </w:r>
    </w:p>
    <w:p>
      <w:pPr>
        <w:autoSpaceDN w:val="0"/>
        <w:autoSpaceDE w:val="0"/>
        <w:widowControl/>
        <w:spacing w:line="552" w:lineRule="exact" w:before="8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(DRAFT)</w:t>
      </w:r>
    </w:p>
    <w:p>
      <w:pPr>
        <w:autoSpaceDN w:val="0"/>
        <w:autoSpaceDE w:val="0"/>
        <w:widowControl/>
        <w:spacing w:line="352" w:lineRule="exact" w:before="448" w:after="0"/>
        <w:ind w:left="36" w:right="1296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Module: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Computational Intelligence (CIS 6005)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Assessment: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WRIT1 - Deep Learning Plus AI Mini Project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Target Dataset: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House Price Prediction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Trained Models: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Linear Regression, XGBoost Regressor, Random Forest Regressor </w:t>
      </w:r>
      <w:r>
        <w:rPr>
          <w:rFonts w:ascii="Helvetica" w:hAnsi="Helvetica" w:eastAsia="Helvetica"/>
          <w:b/>
          <w:i w:val="0"/>
          <w:color w:val="333333"/>
          <w:sz w:val="22"/>
        </w:rPr>
        <w:t>Artifact Link: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 xml:space="preserve">submission.csv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Application Code: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|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templates/index.html</w:t>
      </w:r>
    </w:p>
    <w:p>
      <w:pPr>
        <w:autoSpaceDN w:val="0"/>
        <w:autoSpaceDE w:val="0"/>
        <w:widowControl/>
        <w:spacing w:line="480" w:lineRule="exact" w:before="994" w:after="0"/>
        <w:ind w:left="36" w:right="86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A: Computational Intelligence vs Traditional Artificial </w:t>
      </w:r>
      <w:r>
        <w:rPr>
          <w:rFonts w:ascii="Helvetica" w:hAnsi="Helvetica" w:eastAsia="Helvetica"/>
          <w:b/>
          <w:i w:val="0"/>
          <w:color w:val="1F3A52"/>
          <w:sz w:val="30"/>
        </w:rPr>
        <w:t>Intelligence (10 Marks)</w:t>
      </w:r>
    </w:p>
    <w:p>
      <w:pPr>
        <w:autoSpaceDN w:val="0"/>
        <w:autoSpaceDE w:val="0"/>
        <w:widowControl/>
        <w:spacing w:line="330" w:lineRule="exact" w:before="52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Artificial Intelligence Paradigms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Intelligence (AI) as a scientific discipline seeks to create computational systems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 cognitive behaviors analogous to human intelligence (Russell and Norvig 2020).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Historically, the pursuit of AI has bifurcated into two primary paradigms: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Traditional Artificial </w:t>
      </w:r>
      <w:r>
        <w:rPr>
          <w:rFonts w:ascii="Helvetica" w:hAnsi="Helvetica" w:eastAsia="Helvetica"/>
          <w:b/>
          <w:i w:val="0"/>
          <w:color w:val="333333"/>
          <w:sz w:val="22"/>
        </w:rPr>
        <w:t>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(also known as Symbolic AI, Hard AI, or Good Old-Fashioned AI - GOFAI) and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(CI, often associated with Soft Computing or Connectionist AI). While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focuses on high-level cognitive functions through symbolic manipulation,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approaches problem-solving from a low-level, biologically-inspired,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data-driven perspective (Engelbrecht 2007).</w:t>
      </w:r>
    </w:p>
    <w:p>
      <w:pPr>
        <w:autoSpaceDN w:val="0"/>
        <w:autoSpaceDE w:val="0"/>
        <w:widowControl/>
        <w:spacing w:line="330" w:lineRule="exact" w:before="984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Traditional Artificial Intelligence (Symbolic &amp; Expert Systems)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is characterized by a "top-down" conceptual framework. It operates on the physical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 system hypothesis, which posits that symbolic processing is necessary and sufficient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 intelligent action (Newell and Simon 1976).</w:t>
      </w:r>
    </w:p>
    <w:p>
      <w:pPr>
        <w:autoSpaceDN w:val="0"/>
        <w:tabs>
          <w:tab w:pos="666" w:val="left"/>
        </w:tabs>
        <w:autoSpaceDE w:val="0"/>
        <w:widowControl/>
        <w:spacing w:line="352" w:lineRule="exact" w:before="304" w:after="0"/>
        <w:ind w:left="336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Core Tenets and Mechanisms: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Traditional AI models human reasoning by explicitly coding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rules and knowledge. The core mechanism involves a </w:t>
      </w:r>
      <w:r>
        <w:rPr>
          <w:rFonts w:ascii="Helvetica" w:hAnsi="Helvetica" w:eastAsia="Helvetica"/>
          <w:b/>
          <w:i w:val="0"/>
          <w:color w:val="333333"/>
          <w:sz w:val="22"/>
        </w:rPr>
        <w:t>Knowledge Base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 repository of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facts and rule-based logic, typically represented as IF-THEN structures) and an </w:t>
      </w:r>
      <w:r>
        <w:rPr>
          <w:rFonts w:ascii="Helvetica" w:hAnsi="Helvetica" w:eastAsia="Helvetica"/>
          <w:b/>
          <w:i w:val="0"/>
          <w:color w:val="333333"/>
          <w:sz w:val="22"/>
        </w:rPr>
        <w:t>Inference</w:t>
      </w:r>
    </w:p>
    <w:p>
      <w:pPr>
        <w:sectPr>
          <w:pgSz w:w="11906" w:h="16838"/>
          <w:pgMar w:top="648" w:right="1080" w:bottom="944" w:left="11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660" w:right="864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 xml:space="preserve">Engine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(which applies logical rules using deductive reasoning mechanisms such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forward-chaining or backward-chaining).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reasoning is representational and rule-based, symbolic systems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deterministic and explainable. The logic path leading to a specific decision can be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fully traced and audited, making it highly effective in closed, deterministic, and highly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structured environments (e.g., mathematical theorem proving, tax calculators, and chess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engines).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Critical Limitations: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Symbolic systems exhibit extreme brittleness (McCarthy 1990). They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 absolute certainty and structured inputs; they lack the capacity to process noisy,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ambiguous, or incomplete real-world data. Furthermore, they suffer from the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"Knowledge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Acquisition Bottleneck"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—the practical impossibility of manually coding every potential rule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in complex, dynamically changing environments.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Computational Intelligence (CI)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contrast, Computational Intelligence (CI) utilizes a "bottom-up" approach, focusing on adaptive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mechanisms that learn from raw data or interactive environments. Bezdek (1994) famously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distinguished CI from traditional AI by stating that a system is computationally intelligent when it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begins to process low-level numeric pattern data, incorporates learning and adaptation,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avoids rigid symbolic representation.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primary pillars of Computational Intelligence include: 1.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Artificial Neural Networks (ANNs):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models inspired by biological nervous systems. They consist of layers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interconnected nodes (neurons) that adjust their synaptic weights via training algorithms (e.g.,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backpropagation) to approximate complex, highly non-linear functions (Rumelhart, Hinton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Williams 1986). 2. </w:t>
      </w:r>
      <w:r>
        <w:rPr>
          <w:rFonts w:ascii="Helvetica" w:hAnsi="Helvetica" w:eastAsia="Helvetica"/>
          <w:b/>
          <w:i w:val="0"/>
          <w:color w:val="333333"/>
          <w:sz w:val="22"/>
        </w:rPr>
        <w:t>Evolutionary Computation (EC):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Optimization and search paradigms inspired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by biological evolution and genetics (e.g., Genetic Algorithms). They generate optimal solutions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through iterative generation, selection, crossover, and mutation (Holland 1992). 3.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Fuzzy Logic </w:t>
      </w:r>
      <w:r>
        <w:rPr>
          <w:rFonts w:ascii="Helvetica" w:hAnsi="Helvetica" w:eastAsia="Helvetica"/>
          <w:b/>
          <w:i w:val="0"/>
          <w:color w:val="333333"/>
          <w:sz w:val="22"/>
        </w:rPr>
        <w:t>Systems (FLS):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mathematical framework designed to process "approximate" rather than "exact"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reasoning. Unlike binary Boolean logic, fuzzy logic maps membership inputs to continuous truth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values between 0 and 1, simulating human decision-making under uncertainty (Zadeh 1965).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Comparative Evaluation: Traditional AI vs. Computational Intelligence</w:t>
      </w:r>
    </w:p>
    <w:p>
      <w:pPr>
        <w:sectPr>
          <w:pgSz w:w="11906" w:h="16838"/>
          <w:pgMar w:top="680" w:right="1104" w:bottom="107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424"/>
        <w:ind w:left="2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fundamental differences between the two paradigms can be evaluated across several critical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operational dimensions: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3235"/>
        <w:gridCol w:w="3235"/>
        <w:gridCol w:w="3235"/>
      </w:tblGrid>
      <w:tr>
        <w:trPr>
          <w:trHeight w:hRule="exact" w:val="108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Dimension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Traditional Artificial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Intelligence (Symbolic AI)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Computational Intelligence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(Soft Computing)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Logic &amp; Precision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Binary Boolean logic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(True/False; 0 or 1). Demands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 precision.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64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Multi-valued fuzzy logic.</w:t>
            </w:r>
          </w:p>
          <w:p>
            <w:pPr>
              <w:autoSpaceDN w:val="0"/>
              <w:autoSpaceDE w:val="0"/>
              <w:widowControl/>
              <w:spacing w:line="304" w:lineRule="exact" w:before="0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Tolerates imprecision, noise,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and approximation.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Reasoning Flow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Top-Down: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Deductive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reasoning from general rules to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specific cases (Deduction).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Bottom-Up: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Inductive learning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from specific data points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general patterns (Induction).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Knowledge Origin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engineered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hard-coded by human domain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experts.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Learned dynamically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autonomously from empirical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data.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Adaptability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Static. System rules must be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recoded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accommodate changes.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Dynamic. Adapts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self-correctively through weight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adjustments or evolution.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Explainability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78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White-Box: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Decisions are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highly transparent and logical.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Black-Box: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High mathematical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complexity makes feature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interactions difficult to audit.</w:t>
            </w:r>
          </w:p>
        </w:tc>
      </w:tr>
      <w:tr>
        <w:trPr>
          <w:trHeight w:hRule="exact" w:val="1696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2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Real-world Suitability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Structured, rule-bound systems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(e.g., database management,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syntax parsing).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Uncertain, non-linear, spatial,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and noisy tasks (e.g., house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price forecasting, image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recognition).</w:t>
            </w:r>
          </w:p>
        </w:tc>
      </w:tr>
    </w:tbl>
    <w:p>
      <w:pPr>
        <w:autoSpaceDN w:val="0"/>
        <w:autoSpaceDE w:val="0"/>
        <w:widowControl/>
        <w:spacing w:line="304" w:lineRule="exact" w:before="264" w:after="0"/>
        <w:ind w:left="28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Suitability for Housing Price Forecasting</w:t>
      </w:r>
    </w:p>
    <w:p>
      <w:pPr>
        <w:autoSpaceDN w:val="0"/>
        <w:autoSpaceDE w:val="0"/>
        <w:widowControl/>
        <w:spacing w:line="352" w:lineRule="exact" w:before="258" w:after="0"/>
        <w:ind w:left="28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For the task of real estate valuation, traditional symbolic systems are highly deficient. Real estate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prices are governed by highly non-linear correlations, geographical coordinate interactions,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macro-economic volatility that cannot be expressed as manual IF-THEN rules. By utilizing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 (such as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ensembles),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system can autonomously ingest spatial datasets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), model the complex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non-linear interaction of attributes (like mapping Latitude/Longitude coordinates onto prices), and</w:t>
      </w:r>
    </w:p>
    <w:p>
      <w:pPr>
        <w:sectPr>
          <w:pgSz w:w="11906" w:h="16838"/>
          <w:pgMar w:top="680" w:right="1074" w:bottom="850" w:left="11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04" w:lineRule="exact" w:before="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generalize effectively to predict prices on unseen test cases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estate_test.csv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Bezdek, J.C., 1994. What is computational intelligence?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Computational Intelligence: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Imitating Life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pp.1-12.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Engelbrecht, A.P., 2007. </w:t>
      </w:r>
      <w:r>
        <w:rPr>
          <w:rFonts w:ascii="Helvetica" w:hAnsi="Helvetica" w:eastAsia="Helvetica"/>
          <w:b w:val="0"/>
          <w:i/>
          <w:color w:val="333333"/>
          <w:sz w:val="22"/>
        </w:rPr>
        <w:t>Computational intelligence: an introduction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Holland, J.H., 1992. </w:t>
      </w:r>
      <w:r>
        <w:rPr>
          <w:rFonts w:ascii="Helvetica" w:hAnsi="Helvetica" w:eastAsia="Helvetica"/>
          <w:b w:val="0"/>
          <w:i/>
          <w:color w:val="333333"/>
          <w:sz w:val="22"/>
        </w:rPr>
        <w:t>Adaptation in natural and artificial 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MIT press.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McCarthy, J., 1990. Formalizing common sense.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Formalizing Common Sense: Papers by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John McCarthy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pp.93-116.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Newell, A. and Simon, H.A., 1976. Computer science as empirical inquiry: Symbols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search. </w:t>
      </w:r>
      <w:r>
        <w:rPr>
          <w:rFonts w:ascii="Helvetica" w:hAnsi="Helvetica" w:eastAsia="Helvetica"/>
          <w:b w:val="0"/>
          <w:i/>
          <w:color w:val="333333"/>
          <w:sz w:val="22"/>
        </w:rPr>
        <w:t>Communications of the ACM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19(3), pp.113-126.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138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Rumelhart, D.E., Hinton, G.E. and Williams, R.J., 1986. Learning representations by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back-propagating errors. </w:t>
      </w:r>
      <w:r>
        <w:rPr>
          <w:rFonts w:ascii="Helvetica" w:hAnsi="Helvetica" w:eastAsia="Helvetica"/>
          <w:b w:val="0"/>
          <w:i/>
          <w:color w:val="333333"/>
          <w:sz w:val="22"/>
        </w:rPr>
        <w:t>Nature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323(6088), pp.533-536.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39"/>
        <w:gridCol w:w="4839"/>
      </w:tblGrid>
      <w:tr>
        <w:trPr>
          <w:trHeight w:hRule="exact" w:val="1848"/>
        </w:trPr>
        <w:tc>
          <w:tcPr>
            <w:tcW w:type="dxa" w:w="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288" w:right="11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</w:p>
        </w:tc>
        <w:tc>
          <w:tcPr>
            <w:tcW w:type="dxa" w:w="914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14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Russell, S. and Norvig, P., 2020.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Artificial intelligence: a modern approach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. 4th ed. Pearson.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Zadeh, L.A., 1965. Fuzzy sets.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Information and Control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, 8(3), pp.338-353.</w:t>
            </w:r>
          </w:p>
        </w:tc>
      </w:tr>
    </w:tbl>
    <w:p>
      <w:pPr>
        <w:autoSpaceDN w:val="0"/>
        <w:autoSpaceDE w:val="0"/>
        <w:widowControl/>
        <w:spacing w:line="412" w:lineRule="exact" w:before="45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B: Literature Review (20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Real Estate Valuation Modeling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price forecasting constitutes a fundamental problem in computational economics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spatial analysis. The market value of residential properties is determined by a complex,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heterogeneous mixture of physical characteristics (e.g., number of rooms, bedrooms,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structural age), demographic parameters (e.g., neighborhood population and median income),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geographical coordinates (latitude and longitude) representing spatial attributes (Limsombunchao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2004). Historically, real estate mass appraisal has transitioned from rigid, parametric econometric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to flexible, data-driven Computational Intelligence (CI) algorithms. This literature review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evaluates the historical development, methodological frameworks, strengths, and constraints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three dominant paradigms in valuation modeling: Hedonic Pricing Models (HPM),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Ensemble methods (Random Forest and GBDT/XGBoost), and Deep Learning architectures.</w:t>
      </w:r>
    </w:p>
    <w:p>
      <w:pPr>
        <w:sectPr>
          <w:pgSz w:w="11906" w:h="16838"/>
          <w:pgMar w:top="680" w:right="1104" w:bottom="96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Hedonic Price Modeling (Parametric Econometric Approaches)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theoretical foundation of modern real estate valuation originates from Rosen’s (1974) Hedonic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Pricing Model (HPM). Rosen posited that goods are valued for their utility-bearing characteristics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rather than the good itself. Consequently, the transaction price of a house can be modeled as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function of its individual structural, neighborhood, and environmental attributes:</w:t>
      </w:r>
    </w:p>
    <w:p>
      <w:pPr>
        <w:autoSpaceDN w:val="0"/>
        <w:autoSpaceDE w:val="0"/>
        <w:widowControl/>
        <w:spacing w:line="304" w:lineRule="exact" w:before="352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$$P = f(S, N, E) + \epsilon$$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$S$ represents structural features, $N$ represents neighborhood demographics, $E$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represents environmental/geographical indicators, and $\epsilon$ is the random error term.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Traditionally, HPM is estimated using parametric techniques such as Ordinary Least Squares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(OLS) linear regression, Ridge regression, or Lasso regression (Malpezzi 2003). * </w:t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primary advantage of parametric HPM lies in its statistical transparency and interpretability. OLS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outputs explicit coefficients (beta weights) for each characteristic, enabling economists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appraisers to measure the marginal contribution of individual features (e.g., the exact dollar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 increase associated with adding a bedroom) and perform hypothesis testing via t-statistics. * </w:t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Despite its widespread historical adoption, parametric HPM is severely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restricted by several theoretical assumptions. OLS assumes that the relationship between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 and price is strictly linear or log-linear, which fails to capture complex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dynamics such as the accelerated depreciation of very old properties or diminishing returns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total rooms (Basu and Thibodeau 1998). Furthermore, OLS is highly susceptible to </w:t>
      </w:r>
      <w:r>
        <w:rPr>
          <w:rFonts w:ascii="Helvetica" w:hAnsi="Helvetica" w:eastAsia="Helvetica"/>
          <w:b/>
          <w:i w:val="0"/>
          <w:color w:val="333333"/>
          <w:sz w:val="22"/>
        </w:rPr>
        <w:t>multicollinearity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(e.g., the high correlation between the number of rooms and bedrooms) and </w:t>
      </w:r>
      <w:r>
        <w:rPr>
          <w:rFonts w:ascii="Helvetica" w:hAnsi="Helvetica" w:eastAsia="Helvetica"/>
          <w:b/>
          <w:i w:val="0"/>
          <w:color w:val="333333"/>
          <w:sz w:val="22"/>
        </w:rPr>
        <w:t>spatial autocorrelation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where property values are geographically clustered, violating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assumption of independent and identically distributed (i.i.d.) error terms (Fotheringham, Brunsdon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and Charlton 2002).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Non-Parametric Machine Learning &amp; Tree-Based Ensembles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address the limitations of parametric linearity, researchers have increasingly adopted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non-parametric machine learning models. Unlike HPM, non-parametric algorithms do not assume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predefined mathematical form for the target function, allowing them to learn arbitrary decision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 directly from empirical data.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Random Forest Regressors (Bagging)</w:t>
      </w:r>
    </w:p>
    <w:p>
      <w:pPr>
        <w:sectPr>
          <w:pgSz w:w="11906" w:h="16838"/>
          <w:pgMar w:top="714" w:right="1104" w:bottom="102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8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Introduced by Breiman (2001), the Random Forest (RF) algorithm is an ensemble method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constructs a multitude of decision trees during training. To output a prediction, RF averages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outputs of individual trees (bootstrap aggregation, or bagging), while injecting randomness by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selecting a random subset of features at each split.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comparative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studies of mass appraisal, Random Forest consistently outperforms linear OLS. Antipov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Pokryshevskaya (2012) demonstrated that RF handles spatial interactions and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natively without requiring complex variable transformations. Furthermore, because it averages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predictions across hundreds of independent trees, RF exhibits high robustness against overfitting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is insensitive to outliers—a common occurrence in housing datasets containing luxury estates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or distressed properties.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Gradient Boosting and XGBoost (Boosting)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Random Forest grows trees in parallel, Gradient Boosting Decision Trees (GBDT) build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trees sequentially. Each new tree is trained to predict the residuals (errors) of the preceding trees,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using gradient descent optimization to minimize a loss function (Friedman 2001). Chen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Guestrin (2016) optimized this paradigm by introducing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(Extreme Gradient Boosting)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which incorporates a regularized objective function to control model complexity and prevent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overfitting, alongside parallelized tree construction.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GBDT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XGBoost have emerged as the state-of-the-art for tabular regression tasks. Mullainathan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Spiess (2017) highlighted that boosting algorithms excel at mapping complex coordinate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interactions (Latitude and Longitude) to local neighborhood values, representing a significant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improvement over traditional dummy variables for submarkets. The algorithm's built-in handling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missing values and computational efficiency make it highly suitable for production-level API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deployment.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Artificial Neural Networks (Connectionist Systems / Deep Learning)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Neural Networks (ANNs), particularly Multi-Layer Perceptrons (MLPs), represent another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prominent non-parametric paradigm. Drawing inspiration from biological neural pathways, ANNs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pass input features through multiple hidden layers of interconnected nodes where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activation functions (e.g., ReLU) are applied (Hornik, Stinchcombe and White 1989).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4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real estate forecasting, ANNs act as universal function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approximators capable of modeling extremely intricate, high-dimensional interactions.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 (2004) compared OLS and ANNs on housing datasets and concluded that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connectionist approach achieves lower Root Mean Squared Error (RMSE) due to its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ability to model complex structural-spatial interactions.</w:t>
      </w:r>
    </w:p>
    <w:p>
      <w:pPr>
        <w:sectPr>
          <w:pgSz w:w="11906" w:h="16838"/>
          <w:pgMar w:top="680" w:right="1104" w:bottom="87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However, deep learning models present significant drawbacks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when applied to tabular datasets of moderate size (e.g., under 50,000 observations).</w:t>
      </w:r>
    </w:p>
    <w:p>
      <w:pPr>
        <w:autoSpaceDN w:val="0"/>
        <w:autoSpaceDE w:val="0"/>
        <w:widowControl/>
        <w:spacing w:line="352" w:lineRule="exact" w:before="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Oyallon and Varoquaux (2022) conducted extensive benchmarks comparing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deep learning architectures to tree ensembles on tabular data, finding that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(like XGBoost and Random Forest) consistently outperform ANNs. Neural networks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are highly sensitive to hyperparameter choices, require extensive data normalization, are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computationally expensive to train, and suffer from a complete lack of interpretability (the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"black box" problem), making them less practical for real estate markets where </w:t>
      </w:r>
      <w:r>
        <w:br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transparency is legally or socially required.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Summary and Synthesis of Model Selection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Based on the literature review, the model selections for this project are justified as follows: 1.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essential parametric baseline, representing traditional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econometric appraisal (HPM) to highlight the performance gains of non-parametric approaches. 2.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selected as a robust bagging ensemble to handle structural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outlier variance. 3.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represents the state-of-the-art regularized boosting paradigm,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selected for its superior predictive performance on tabular coordinate and demographic data.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6.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Antipov, E.A. and Pokryshevskaya, E.B., 2012. Mass appraisal of residential apartments: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 application of Random Forest. </w:t>
      </w:r>
      <w:r>
        <w:rPr>
          <w:rFonts w:ascii="Helvetica" w:hAnsi="Helvetica" w:eastAsia="Helvetica"/>
          <w:b w:val="0"/>
          <w:i/>
          <w:color w:val="333333"/>
          <w:sz w:val="22"/>
        </w:rPr>
        <w:t>International Journal of Housing Markets and Analysis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5(2), pp.126-139.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Basu, S. and Thibodeau, T.G., 1998. Analysis of spatial autocorrelation in house prices.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Real Estate Finance and Economics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17(1), pp.61-85.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Breiman, L., 2001. Random forests. </w:t>
      </w:r>
      <w:r>
        <w:rPr>
          <w:rFonts w:ascii="Helvetica" w:hAnsi="Helvetica" w:eastAsia="Helvetica"/>
          <w:b w:val="0"/>
          <w:i/>
          <w:color w:val="333333"/>
          <w:sz w:val="22"/>
        </w:rPr>
        <w:t>Machine Learning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45(1), pp.5-32.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Chen, T. and Guestrin, C., 2016. Xgboost: A scalable tree boosting system.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Proceedings of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22nd ACM SIGKDD International Conference on Knowledge Discovery and Data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Mining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pp.785-794.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Fotheringham, A.S., Brunsdon, C. and Charlton, M., 2002.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Geographically weighted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regression: the analysis of spatially varying relationships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sectPr>
          <w:pgSz w:w="11906" w:h="16838"/>
          <w:pgMar w:top="680" w:right="1104" w:bottom="116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Friedman, J.H., 2001. Greedy function approximation: a gradient boosting machine.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Annals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of Statistics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pp.1189-1232.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L., Oyallon, E. and Varoquaux, G., 2022. Why do tree-based models still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outperform deep learning on tabular data?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Advances in Neural Information Processing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35, pp.507-520.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Hornik, K., Stinchcombe, M. and White, H., 1989. Multilayer feedforward networks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universal approximators. </w:t>
      </w:r>
      <w:r>
        <w:rPr>
          <w:rFonts w:ascii="Helvetica" w:hAnsi="Helvetica" w:eastAsia="Helvetica"/>
          <w:b w:val="0"/>
          <w:i/>
          <w:color w:val="333333"/>
          <w:sz w:val="22"/>
        </w:rPr>
        <w:t>Neural Networks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2(5), pp.359-366.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Limsombunchao, V., 2004. House price prediction: hedonic price model vs. artificial neural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network. </w:t>
      </w:r>
      <w:r>
        <w:rPr>
          <w:rFonts w:ascii="Helvetica" w:hAnsi="Helvetica" w:eastAsia="Helvetica"/>
          <w:b w:val="0"/>
          <w:i/>
          <w:color w:val="333333"/>
          <w:sz w:val="22"/>
        </w:rPr>
        <w:t>New Zealand Agricultural and Resource Economics Society Conference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pp.25-26.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Malpezzi, S., 2003. Hedonic pricing models: a selective and applied review.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Housing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Economics and Public Policy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pp.67-89.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Mullainathan, S. and Spiess, J., 2017. Machine learning: an applied econometric approach.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Economic Perspectives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31(2), pp.87-106.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Rosen, S., 1974. Hedonic prices and implicit markets: product differentiation in pure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competition. </w:t>
      </w:r>
      <w:r>
        <w:rPr>
          <w:rFonts w:ascii="Helvetica" w:hAnsi="Helvetica" w:eastAsia="Helvetica"/>
          <w:b w:val="0"/>
          <w:i/>
          <w:color w:val="333333"/>
          <w:sz w:val="22"/>
        </w:rPr>
        <w:t>Journal of Political Economy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82(1), pp.34-55.</w:t>
      </w:r>
    </w:p>
    <w:p>
      <w:pPr>
        <w:autoSpaceDN w:val="0"/>
        <w:autoSpaceDE w:val="0"/>
        <w:widowControl/>
        <w:spacing w:line="480" w:lineRule="exact" w:before="1368" w:after="0"/>
        <w:ind w:left="30" w:right="432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C: Exploratory Data Analysis (EDA) and Model Influence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autoSpaceDN w:val="0"/>
        <w:autoSpaceDE w:val="0"/>
        <w:widowControl/>
        <w:spacing w:line="352" w:lineRule="exact" w:before="34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Exploratory Data Analysis (EDA) was carried out to understand the structure, distribution,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relationships within the dataset for the real estate price prediction task. The analysis aimed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identify data quality issues, target distribution, feature behavior, and correlations that affect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performance and algorithmic choices.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training dataset has 16,512 observations and 11 attributes. These include physical structural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attributes, local demographic indicators, and geographic coordinates, along with the continuous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An initial check showed missing values in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(~7.9% of training records) and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(~0.1%). The dataset contains a mix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numerical (float and integer) and engineered categorical variables, supporting the use of robust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scaling, imputation, and encoding pipelines during model development.</w:t>
      </w:r>
    </w:p>
    <w:p>
      <w:pPr>
        <w:sectPr>
          <w:pgSz w:w="11906" w:h="16838"/>
          <w:pgMar w:top="680" w:right="1104" w:bottom="111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3.1 Target Variable Distribution and Boundary Capping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shows the transaction price of properties (scaled by a factor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100,000, e.g. a target value of 2.3367 represents a price of $233,671.67). Unlike classification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tasks,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a continuous numerical variable. Analysis of its distribution showed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right-skewed layout with a sharp spike at the upper boundary (5.0001), representing a hard price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cap of $500,000 imposed during data collection.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this boundary limit and skewness, standard linear regressions are prone to predicting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negative values or out-of-bounds prices. So, we chose to implement a clipping threshold (capping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 at 0.0) in our model inference pipeline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06_model_inference.ipynb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Furthermore, this boundary behavior supported the use of non-parametric tree ensembles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(XGBoost and Random Forest), which construct split boundaries and handle capped limits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skewness natively without requiring mathematical target transformations.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3.2 Numerical Feature Distributions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distributions of numerical features were examined using histograms with KDE overlays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identify skewness, outliers, and general trends (see Figure 1).</w:t>
      </w:r>
    </w:p>
    <w:p>
      <w:pPr>
        <w:sectPr>
          <w:pgSz w:w="11906" w:h="16838"/>
          <w:pgMar w:top="676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51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51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8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Applicant area income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showed a right-skewed distribution, indicating that most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property neighborhoods belong to middle-income classes, while a few represent high-income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districts. Average occupancy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AvgOccupancy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 and rooms per household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exhibited extreme right-skewed distributions with heavy outlier tails (e.g., maximum occupancy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values reaching 1,243 and rooms exceeding 50 per household).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Geographical coordinates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displayed multi-modal spatial distributions,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representing major population and housing clusters (e.g., coastal and metropolitan hubs).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these spatial and skewed patterns, standard linear scaling would be heavily distorted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by extreme outliers. This influenced the decision to use robust tree-based ensembles (XGBoost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Random Forest) that are rank-based and invariant to monotonic scale transformations,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making them immune to outlier scaling bias.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3.3 Categorical and Engineered Feature Analysis</w:t>
      </w:r>
    </w:p>
    <w:p>
      <w:pPr>
        <w:autoSpaceDN w:val="0"/>
        <w:autoSpaceDE w:val="0"/>
        <w:widowControl/>
        <w:spacing w:line="352" w:lineRule="exact" w:before="270" w:after="0"/>
        <w:ind w:left="30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capture the non-linear depreciation of housing values over time, the numerical feature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was engineered into a categorical feature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using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brackets: 'New' ($\le 15$ years), 'Moderate' ($16-35$ years), and 'Old' ($&gt;35$ years) (see Figure</w:t>
      </w:r>
    </w:p>
    <w:p>
      <w:pPr>
        <w:sectPr>
          <w:pgSz w:w="11906" w:h="16838"/>
          <w:pgMar w:top="720" w:right="1074" w:bottom="85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04" w:lineRule="exact" w:before="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2).</w:t>
      </w:r>
    </w:p>
    <w:p>
      <w:pPr>
        <w:autoSpaceDN w:val="0"/>
        <w:autoSpaceDE w:val="0"/>
        <w:widowControl/>
        <w:spacing w:line="240" w:lineRule="auto" w:before="43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5478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5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mathematically prove that these binned age groups represent statistically distinct house prices,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conducted formal hypothesis testing: * </w:t>
      </w:r>
      <w:r>
        <w:rPr>
          <w:rFonts w:ascii="Helvetica" w:hAnsi="Helvetica" w:eastAsia="Helvetica"/>
          <w:b/>
          <w:i w:val="0"/>
          <w:color w:val="333333"/>
          <w:sz w:val="22"/>
        </w:rPr>
        <w:t>ANOVA F-Test: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one-way Analysis of Variance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(ANOVA) test across the three age categories resulted in a highly significant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F-statistic of 113.82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($p &lt; 0.05$). This statistically confirms that the mean housing prices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among 'New', 'Moderate', and 'Old' properties are significantly different. * </w:t>
      </w:r>
      <w:r>
        <w:rPr>
          <w:rFonts w:ascii="Helvetica" w:hAnsi="Helvetica" w:eastAsia="Helvetica"/>
          <w:b/>
          <w:i w:val="0"/>
          <w:color w:val="333333"/>
          <w:sz w:val="22"/>
        </w:rPr>
        <w:t>Student's T-Test: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independent two-sample t-test between the 'New' and 'Old' property subsets yielded a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t-statistic </w:t>
      </w:r>
      <w:r>
        <w:rPr>
          <w:rFonts w:ascii="Helvetica" w:hAnsi="Helvetica" w:eastAsia="Helvetica"/>
          <w:b/>
          <w:i w:val="0"/>
          <w:color w:val="333333"/>
          <w:sz w:val="22"/>
        </w:rPr>
        <w:t>of 14.85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confirming that new properties command a statistically higher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price profile.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statistical validation justified our encoding strategy (Ordinal Encoding) in the preprocessing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pipeline, allowing tree splits in XGBoost and Random Forest to branch on clean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thresholds.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3.4 Correlation Analysis</w:t>
      </w:r>
    </w:p>
    <w:p>
      <w:pPr>
        <w:sectPr>
          <w:pgSz w:w="11906" w:h="16838"/>
          <w:pgMar w:top="680" w:right="1104" w:bottom="95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correlation heatmap was created to look at linear relationships between numerical features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variable (see Figure 3).</w:t>
      </w:r>
    </w:p>
    <w:p>
      <w:pPr>
        <w:autoSpaceDN w:val="0"/>
        <w:autoSpaceDE w:val="0"/>
        <w:widowControl/>
        <w:spacing w:line="240" w:lineRule="auto" w:before="43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55448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5544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strong positive correlation was found between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(correlation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coefficient </w:t>
      </w:r>
      <w:r>
        <w:rPr>
          <w:rFonts w:ascii="Symbol" w:hAnsi="Symbol" w:eastAsia="Symbol"/>
          <w:b w:val="0"/>
          <w:i w:val="0"/>
          <w:color w:val="333333"/>
          <w:sz w:val="22"/>
        </w:rPr>
        <w:t>≈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0.85). In linear models, this causes severe multicollinearity, inflating the variance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coefficients and rendering the model unstable. To balance this, we engineered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-0.26$).</w:t>
      </w:r>
    </w:p>
    <w:p>
      <w:pPr>
        <w:autoSpaceDN w:val="0"/>
        <w:autoSpaceDE w:val="0"/>
        <w:widowControl/>
        <w:spacing w:line="352" w:lineRule="exact" w:before="304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Regarding the target variable,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a strong positive correlation with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0.69$), identifying it as the single most predictive feature. Coordinates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weak individual linear correlations ($r \approx -0.08$ and $r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\approx -0.05$), yet they are highly predictive of house price through geographic interaction.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required using models like XGBoost that split coordinates in multi-dimensional space to capture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localized value groups.</w:t>
      </w:r>
    </w:p>
    <w:p>
      <w:pPr>
        <w:sectPr>
          <w:pgSz w:w="11906" w:h="16838"/>
          <w:pgMar w:top="680" w:right="1134" w:bottom="830" w:left="11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Key Insights from EDA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dataset has missing values in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were dropped during training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preserve distribution shapes, but handled via median imputer in production to handle user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default inputs.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price is right-skewed with a cap at 5.0, requiring clipping bounds in inference.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Indicators like occupancy and rooms per household have heavy outlier tails, directing our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choice toward tree-based ensembles (XGBoost/Random Forest) that are naturally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outlier-resistant.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Location coordinates do not exhibit simple linear relationships, calling for non-parametric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model architectures.</w:t>
      </w:r>
    </w:p>
    <w:p>
      <w:pPr>
        <w:autoSpaceDN w:val="0"/>
        <w:autoSpaceDE w:val="0"/>
        <w:widowControl/>
        <w:spacing w:line="352" w:lineRule="exact" w:before="63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general, the exploratory data analysis offered a solid basis for feature engineering,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selection, and evaluation strategies used in this project.</w:t>
      </w:r>
    </w:p>
    <w:p>
      <w:pPr>
        <w:autoSpaceDN w:val="0"/>
        <w:autoSpaceDE w:val="0"/>
        <w:widowControl/>
        <w:spacing w:line="412" w:lineRule="exact" w:before="106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D: System Architecture (10 Marks)</w:t>
      </w:r>
    </w:p>
    <w:p>
      <w:pPr>
        <w:autoSpaceDN w:val="0"/>
        <w:autoSpaceDE w:val="0"/>
        <w:widowControl/>
        <w:spacing w:line="332" w:lineRule="exact" w:before="528" w:after="34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Processing Pipeline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678"/>
      </w:tblGrid>
      <w:tr>
        <w:trPr>
          <w:trHeight w:hRule="exact" w:val="3066"/>
        </w:trPr>
        <w:tc>
          <w:tcPr>
            <w:tcW w:type="dxa" w:w="963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2" w:after="0"/>
              <w:ind w:left="156" w:right="14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graph TD A[estate_train.csv / Raw Data] --&gt; B[Data Cleaning: Drop ID, Drop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PropertyAge NaNs] B --&gt; C[Feature Engineering: PropertyAge Binning] C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D[ColumnTransformer Preprocessing: Imputation + StandardScaler + OrdinalEncoder]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 --&gt; E[Train-Test Split 80/20] E --&gt; F[GridSearchCV Hyperparameter Tuning] F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G[Linear, RF, and XGBoost Best Estimators] G --&gt; H[Model Serialization: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joblib.dump] H --&gt; I[Flask Web Server: app.py] J[estate_test.csv] --&gt; K[Impute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Test Age via Train Median] K --&gt; L[Test set Binning] L --&gt; M[Fitted Preprocessor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Transform] M --&gt; N[Predict TargetPrice using Saved XGBoost Model] N --&gt;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O[submission.csv]</w:t>
            </w:r>
          </w:p>
        </w:tc>
      </w:tr>
    </w:tbl>
    <w:p>
      <w:pPr>
        <w:autoSpaceDN w:val="0"/>
        <w:autoSpaceDE w:val="0"/>
        <w:widowControl/>
        <w:spacing w:line="332" w:lineRule="exact" w:before="28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Model Selection Justification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Baseline regression model, fast and simple but restricted to linear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relationships.</w:t>
      </w:r>
    </w:p>
    <w:p>
      <w:pPr>
        <w:sectPr>
          <w:pgSz w:w="11906" w:h="16838"/>
          <w:pgMar w:top="714" w:right="1104" w:bottom="116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Averages many independent decision trees. By introducing randomness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during tree splitting, it reduces variance, increases stability, and provides robust predictions.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XGBoost: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powerful gradient boosted decision trees algorithm. It trains trees sequentially,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each tree corrects errors of the previous ones. It is highly optimized, handles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non-linear relationships, and achieves outstanding accuracy.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E: Full Model Evaluation &amp; Implementation (40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Performance Results (Test Set)</w:t>
      </w:r>
    </w:p>
    <w:p>
      <w:pPr>
        <w:autoSpaceDN w:val="0"/>
        <w:autoSpaceDE w:val="0"/>
        <w:widowControl/>
        <w:spacing w:line="352" w:lineRule="exact" w:before="270" w:after="424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models were trained using 6-fold cross-validation on the training set and evaluated on the test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936"/>
        <w:gridCol w:w="1936"/>
        <w:gridCol w:w="1936"/>
        <w:gridCol w:w="1936"/>
        <w:gridCol w:w="1936"/>
      </w:tblGrid>
      <w:tr>
        <w:trPr>
          <w:trHeight w:hRule="exact" w:val="1392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Model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Tuning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Hyperparameters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$R^2$ Score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0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Root Mean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Squared Error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(RMSE)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Mean Absolute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Error (MAE)</w:t>
            </w:r>
          </w:p>
        </w:tc>
      </w:tr>
      <w:tr>
        <w:trPr>
          <w:trHeight w:hRule="exact" w:val="1088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 xml:space="preserve">Linear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Regression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None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0.6521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0.6693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0.4805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Random Forest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0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12,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min_samples_leaf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2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" w:val="left"/>
              </w:tabs>
              <w:autoSpaceDE w:val="0"/>
              <w:widowControl/>
              <w:spacing w:line="306" w:lineRule="exact" w:before="728" w:after="0"/>
              <w:ind w:left="14" w:right="100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0.7854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: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0.5257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0.3522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XGBoost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144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6,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learning_rate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0.1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0.8256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0.4739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0.3124</w:t>
            </w:r>
          </w:p>
        </w:tc>
      </w:tr>
    </w:tbl>
    <w:p>
      <w:pPr>
        <w:autoSpaceDN w:val="0"/>
        <w:autoSpaceDE w:val="0"/>
        <w:widowControl/>
        <w:spacing w:line="330" w:lineRule="exact" w:before="28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Web Application Setup</w:t>
      </w:r>
    </w:p>
    <w:p>
      <w:pPr>
        <w:sectPr>
          <w:pgSz w:w="11906" w:h="16838"/>
          <w:pgMar w:top="680" w:right="1104" w:bottom="119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40" w:lineRule="exact" w:before="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Backend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app.py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Utilizes Flask. Loads serialized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preprocessor.joblib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linear_regression_model.joblib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xgboost_model.joblib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and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random_forest_model.joblib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on startup. Serves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endpoint returning JSON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predictions.</w:t>
      </w:r>
    </w:p>
    <w:p>
      <w:pPr>
        <w:autoSpaceDN w:val="0"/>
        <w:autoSpaceDE w:val="0"/>
        <w:widowControl/>
        <w:spacing w:line="344" w:lineRule="exact" w:before="166" w:after="0"/>
        <w:ind w:left="660" w:right="288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Frontend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templates/index.html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Glassmorphic web panel with Outfit typography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dynamic dark mode sliders for all 10 features: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sliders: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IncomeLevel, PropertyAge, TotalRooms, TotalBedrooms, AvgOccupancy,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RoomsPerHousehold, BedroomsRatio.</w:t>
      </w:r>
    </w:p>
    <w:p>
      <w:pPr>
        <w:autoSpaceDN w:val="0"/>
        <w:tabs>
          <w:tab w:pos="990" w:val="left"/>
        </w:tabs>
        <w:autoSpaceDE w:val="0"/>
        <w:widowControl/>
        <w:spacing w:line="304" w:lineRule="exact" w:before="19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inputs: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NeighborhoodPop, Latitude, Longitude.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Live updates are sent asynchronously to the backend on slider adjust, updating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predicted prices dynamically with a neon green layout.</w:t>
      </w:r>
    </w:p>
    <w:p>
      <w:pPr>
        <w:autoSpaceDN w:val="0"/>
        <w:autoSpaceDE w:val="0"/>
        <w:widowControl/>
        <w:spacing w:line="412" w:lineRule="exact" w:before="170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F: Critical Evaluation &amp; Limitations 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Domain Suitability of the Model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Random Forest Regressor is highly suited for real estate valuation. It is robust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outliers (which are common in real estate due to luxury housing spikes) and captures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interactions between geographic coordinates and average occupancy.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Suitability of Deep Learning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Deep Learning (e.g. MLPs) can approximate the spatial price function, it is less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suitable here due to: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115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Data scale: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Tabular dataset size (15k rows) is too small to train large network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parameters without massive overfitting.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Interpretability: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appraisers require structural rules (e.g., how the bedrooms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ratio impacts price) which are inspectable in tree splits but completely hidden in deep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neural weights.</w:t>
      </w:r>
    </w:p>
    <w:p>
      <w:pPr>
        <w:sectPr>
          <w:pgSz w:w="11906" w:h="16838"/>
          <w:pgMar w:top="680" w:right="1104" w:bottom="138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Limitations of the Current Approach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Temporal Shift: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does not include time metrics. Inflation, interest rates,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seasonal spikes are completely ignored.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Geographical Constraints: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is bound to the coordinate boundaries of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training dataset. It cannot predict prices for properties outside these geographical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boundaries.</w:t>
      </w:r>
    </w:p>
    <w:p>
      <w:pPr>
        <w:autoSpaceDN w:val="0"/>
        <w:autoSpaceDE w:val="0"/>
        <w:widowControl/>
        <w:spacing w:line="332" w:lineRule="exact" w:before="816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Future Suggestions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successfully implemented XGBoost and improved the $R^2$ score to </w:t>
      </w:r>
      <w:r>
        <w:rPr>
          <w:rFonts w:ascii="Helvetica" w:hAnsi="Helvetica" w:eastAsia="Helvetica"/>
          <w:b/>
          <w:i w:val="0"/>
          <w:color w:val="333333"/>
          <w:sz w:val="22"/>
        </w:rPr>
        <w:t>0.8256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Future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work could incorporate LightGBM to speed up training.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Incorporate SHAP (Shapley Additive exPlanations) values to provide local feature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contribution visualization in the web application UI.</w:t>
      </w:r>
    </w:p>
    <w:sectPr w:rsidR="00FC693F" w:rsidRPr="0006063C" w:rsidSect="00034616">
      <w:pgSz w:w="11906" w:h="16838"/>
      <w:pgMar w:top="676" w:right="1440" w:bottom="1440" w:left="115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