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28"/>
        <w:ind w:left="0" w:right="0"/>
      </w:pPr>
    </w:p>
    <w:p>
      <w:pPr>
        <w:autoSpaceDN w:val="0"/>
        <w:autoSpaceDE w:val="0"/>
        <w:widowControl/>
        <w:spacing w:line="552" w:lineRule="exact" w:before="0" w:after="0"/>
        <w:ind w:left="36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40"/>
        </w:rPr>
        <w:t>COMPREHENSIVE ASSESSMENT REPORT</w:t>
      </w:r>
    </w:p>
    <w:p>
      <w:pPr>
        <w:autoSpaceDN w:val="0"/>
        <w:autoSpaceDE w:val="0"/>
        <w:widowControl/>
        <w:spacing w:line="552" w:lineRule="exact" w:before="88" w:after="0"/>
        <w:ind w:left="36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40"/>
        </w:rPr>
        <w:t>(DRAFT)</w:t>
      </w:r>
    </w:p>
    <w:p>
      <w:pPr>
        <w:autoSpaceDN w:val="0"/>
        <w:autoSpaceDE w:val="0"/>
        <w:widowControl/>
        <w:spacing w:line="352" w:lineRule="exact" w:before="448" w:after="0"/>
        <w:ind w:left="36" w:right="54" w:firstLine="0"/>
        <w:jc w:val="both"/>
      </w:pPr>
      <w:r>
        <w:rPr>
          <w:rFonts w:ascii="Helvetica" w:hAnsi="Helvetica" w:eastAsia="Helvetica"/>
          <w:b/>
          <w:i w:val="0"/>
          <w:color w:val="333333"/>
          <w:sz w:val="22"/>
        </w:rPr>
        <w:t>Module: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Computational Intelligence (CIS 6005) </w:t>
      </w:r>
      <w:r>
        <w:rPr>
          <w:rFonts w:ascii="Helvetica" w:hAnsi="Helvetica" w:eastAsia="Helvetica"/>
          <w:b/>
          <w:i w:val="0"/>
          <w:color w:val="333333"/>
          <w:sz w:val="22"/>
        </w:rPr>
        <w:t>Assessment: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WRIT1 - Deep Learning Plus AI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Mini Project </w:t>
      </w:r>
      <w:r>
        <w:rPr>
          <w:rFonts w:ascii="Helvetica" w:hAnsi="Helvetica" w:eastAsia="Helvetica"/>
          <w:b/>
          <w:i w:val="0"/>
          <w:color w:val="333333"/>
          <w:sz w:val="22"/>
        </w:rPr>
        <w:t>Target Dataset: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Real Estate House Price Prediction (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estate_train.csv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) </w:t>
      </w:r>
      <w:r>
        <w:rPr>
          <w:rFonts w:ascii="Helvetica" w:hAnsi="Helvetica" w:eastAsia="Helvetica"/>
          <w:b/>
          <w:i w:val="0"/>
          <w:color w:val="333333"/>
          <w:sz w:val="22"/>
        </w:rPr>
        <w:t xml:space="preserve">Trained </w:t>
      </w:r>
      <w:r>
        <w:rPr>
          <w:rFonts w:ascii="Helvetica" w:hAnsi="Helvetica" w:eastAsia="Helvetica"/>
          <w:b/>
          <w:i w:val="0"/>
          <w:color w:val="333333"/>
          <w:sz w:val="22"/>
        </w:rPr>
        <w:t>Models: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Linear Regression, XGBoost Regressor, Random Forest Regressor </w:t>
      </w:r>
      <w:r>
        <w:rPr>
          <w:rFonts w:ascii="Helvetica" w:hAnsi="Helvetica" w:eastAsia="Helvetica"/>
          <w:b/>
          <w:i w:val="0"/>
          <w:color w:val="333333"/>
          <w:sz w:val="22"/>
        </w:rPr>
        <w:t xml:space="preserve">Artifact Link: </w:t>
      </w:r>
      <w:r>
        <w:rPr>
          <w:rFonts w:ascii="Helvetica" w:hAnsi="Helvetica" w:eastAsia="Helvetica"/>
          <w:b w:val="0"/>
          <w:i w:val="0"/>
          <w:color w:val="0000FF"/>
          <w:sz w:val="22"/>
          <w:u w:val="single"/>
        </w:rPr>
        <w:t>submission.csv</w:t>
      </w:r>
      <w:r>
        <w:rPr>
          <w:rFonts w:ascii="Helvetica" w:hAnsi="Helvetica" w:eastAsia="Helvetica"/>
          <w:b/>
          <w:i w:val="0"/>
          <w:color w:val="333333"/>
          <w:sz w:val="22"/>
        </w:rPr>
        <w:t>Application Code:</w:t>
      </w:r>
      <w:r>
        <w:rPr>
          <w:rFonts w:ascii="Helvetica" w:hAnsi="Helvetica" w:eastAsia="Helvetica"/>
          <w:b w:val="0"/>
          <w:i w:val="0"/>
          <w:color w:val="0000FF"/>
          <w:sz w:val="22"/>
          <w:u w:val="single"/>
        </w:rPr>
        <w:t>app.py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| </w:t>
      </w:r>
      <w:r>
        <w:rPr>
          <w:rFonts w:ascii="Helvetica" w:hAnsi="Helvetica" w:eastAsia="Helvetica"/>
          <w:b w:val="0"/>
          <w:i w:val="0"/>
          <w:color w:val="0000FF"/>
          <w:sz w:val="22"/>
          <w:u w:val="single"/>
        </w:rPr>
        <w:t>templates/index.html</w:t>
      </w:r>
    </w:p>
    <w:p>
      <w:pPr>
        <w:autoSpaceDN w:val="0"/>
        <w:autoSpaceDE w:val="0"/>
        <w:widowControl/>
        <w:spacing w:line="480" w:lineRule="exact" w:before="994" w:after="0"/>
        <w:ind w:left="36" w:right="864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30"/>
        </w:rPr>
        <w:t xml:space="preserve">Section A: Computational Intelligence vs Traditional Artificial </w:t>
      </w:r>
      <w:r>
        <w:rPr>
          <w:rFonts w:ascii="Helvetica" w:hAnsi="Helvetica" w:eastAsia="Helvetica"/>
          <w:b/>
          <w:i w:val="0"/>
          <w:color w:val="1F3A52"/>
          <w:sz w:val="30"/>
        </w:rPr>
        <w:t>Intelligence (10 Marks)</w:t>
      </w:r>
    </w:p>
    <w:p>
      <w:pPr>
        <w:autoSpaceDN w:val="0"/>
        <w:autoSpaceDE w:val="0"/>
        <w:widowControl/>
        <w:spacing w:line="330" w:lineRule="exact" w:before="528" w:after="0"/>
        <w:ind w:left="36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1. Introduction to Artificial Intelligence Paradigms</w:t>
      </w:r>
    </w:p>
    <w:p>
      <w:pPr>
        <w:autoSpaceDN w:val="0"/>
        <w:autoSpaceDE w:val="0"/>
        <w:widowControl/>
        <w:spacing w:line="352" w:lineRule="exact" w:before="270" w:after="0"/>
        <w:ind w:left="36" w:right="54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Artificial Intelligence (AI) as a scientific discipline seeks to create computational systems that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exhibit cognitive behaviors analogous to human intelligence. Historically, the pursuit of AI has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bifurcated into two primary paradigms: </w:t>
      </w:r>
      <w:r>
        <w:rPr>
          <w:rFonts w:ascii="Helvetica" w:hAnsi="Helvetica" w:eastAsia="Helvetica"/>
          <w:b/>
          <w:i w:val="0"/>
          <w:color w:val="333333"/>
          <w:sz w:val="22"/>
        </w:rPr>
        <w:t>Traditional Artificial Intelligence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(also known as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Symbolic AI, Hard AI, or Good Old-Fashioned AI - GOFAI) and </w:t>
      </w:r>
      <w:r>
        <w:rPr>
          <w:rFonts w:ascii="Helvetica" w:hAnsi="Helvetica" w:eastAsia="Helvetica"/>
          <w:b/>
          <w:i w:val="0"/>
          <w:color w:val="333333"/>
          <w:sz w:val="22"/>
        </w:rPr>
        <w:t>Computational Intelligence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(CI,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often associated with Soft Computing or Connectionist AI). While Traditional AI focuses on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high-level cognitive functions through symbolic manipulation, Computational Intelligence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approaches problem-solving from a low-level, biologically-inspired, and data-driven perspective.</w:t>
      </w:r>
    </w:p>
    <w:p>
      <w:pPr>
        <w:autoSpaceDN w:val="0"/>
        <w:autoSpaceDE w:val="0"/>
        <w:widowControl/>
        <w:spacing w:line="330" w:lineRule="exact" w:before="984" w:after="0"/>
        <w:ind w:left="36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2. Traditional Artificial Intelligence (Symbolic &amp; Expert Systems)</w:t>
      </w:r>
    </w:p>
    <w:p>
      <w:pPr>
        <w:autoSpaceDN w:val="0"/>
        <w:autoSpaceDE w:val="0"/>
        <w:widowControl/>
        <w:spacing w:line="352" w:lineRule="exact" w:before="270" w:after="0"/>
        <w:ind w:left="36" w:right="54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Traditional AI is characterized by a "top-down" conceptual framework. It operates on the physical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symbol system hypothesis, which posits that symbolic processing is necessary and sufficient for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general intelligent action.</w:t>
      </w:r>
    </w:p>
    <w:p>
      <w:pPr>
        <w:autoSpaceDN w:val="0"/>
        <w:tabs>
          <w:tab w:pos="666" w:val="left"/>
        </w:tabs>
        <w:autoSpaceDE w:val="0"/>
        <w:widowControl/>
        <w:spacing w:line="352" w:lineRule="exact" w:before="304" w:after="0"/>
        <w:ind w:left="336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/>
          <w:i w:val="0"/>
          <w:color w:val="333333"/>
          <w:sz w:val="22"/>
        </w:rPr>
        <w:t>Core Tenets and Mechanisms: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Traditional AI models human reasoning by explicitly coding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rules and knowledge. The core mechanism involves a </w:t>
      </w:r>
      <w:r>
        <w:rPr>
          <w:rFonts w:ascii="Helvetica" w:hAnsi="Helvetica" w:eastAsia="Helvetica"/>
          <w:b/>
          <w:i w:val="0"/>
          <w:color w:val="333333"/>
          <w:sz w:val="22"/>
        </w:rPr>
        <w:t>Knowledge Base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(a repository of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facts and rule-based logic, typically represented as IF-THEN structures) and an </w:t>
      </w:r>
      <w:r>
        <w:rPr>
          <w:rFonts w:ascii="Helvetica" w:hAnsi="Helvetica" w:eastAsia="Helvetica"/>
          <w:b/>
          <w:i w:val="0"/>
          <w:color w:val="333333"/>
          <w:sz w:val="22"/>
        </w:rPr>
        <w:t xml:space="preserve">Inference </w:t>
      </w:r>
      <w:r>
        <w:tab/>
      </w:r>
      <w:r>
        <w:rPr>
          <w:rFonts w:ascii="Helvetica" w:hAnsi="Helvetica" w:eastAsia="Helvetica"/>
          <w:b/>
          <w:i w:val="0"/>
          <w:color w:val="333333"/>
          <w:sz w:val="22"/>
        </w:rPr>
        <w:t>Engine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(which applies logical rules using deductive reasoning mechanisms such as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forward-chaining or backward-chaining).</w:t>
      </w:r>
    </w:p>
    <w:p>
      <w:pPr>
        <w:sectPr>
          <w:pgSz w:w="11906" w:h="16838"/>
          <w:pgMar w:top="648" w:right="1100" w:bottom="1122" w:left="11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8"/>
        <w:ind w:left="0" w:right="0"/>
      </w:pPr>
    </w:p>
    <w:p>
      <w:pPr>
        <w:autoSpaceDN w:val="0"/>
        <w:tabs>
          <w:tab w:pos="660" w:val="left"/>
        </w:tabs>
        <w:autoSpaceDE w:val="0"/>
        <w:widowControl/>
        <w:spacing w:line="342" w:lineRule="exact" w:before="0" w:after="0"/>
        <w:ind w:left="330" w:right="288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/>
          <w:i w:val="0"/>
          <w:color w:val="333333"/>
          <w:sz w:val="22"/>
        </w:rPr>
        <w:t>Strengths: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Because reasoning is representational and rule-based, symbolic systems are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highly deterministic and explainable. The logic path leading to a specific decision can be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fully traced and audited, making it highly effective in closed, deterministic, and highly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structured environments (e.g., mathematical theorem proving, tax calculators, and chess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engines).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50" w:after="0"/>
        <w:ind w:left="330" w:right="144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/>
          <w:i w:val="0"/>
          <w:color w:val="333333"/>
          <w:sz w:val="22"/>
        </w:rPr>
        <w:t>Critical Limitations: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Symbolic systems exhibit extreme brittleness. They require absolute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certainty and structured inputs; they lack the capacity to process noisy, ambiguous, or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incomplete real-world data. Furthermore, they suffer from the </w:t>
      </w:r>
      <w:r>
        <w:rPr>
          <w:rFonts w:ascii="Helvetica" w:hAnsi="Helvetica" w:eastAsia="Helvetica"/>
          <w:b/>
          <w:i w:val="0"/>
          <w:color w:val="333333"/>
          <w:sz w:val="22"/>
        </w:rPr>
        <w:t xml:space="preserve">"Knowledge Acquisition </w:t>
      </w:r>
      <w:r>
        <w:tab/>
      </w:r>
      <w:r>
        <w:rPr>
          <w:rFonts w:ascii="Helvetica" w:hAnsi="Helvetica" w:eastAsia="Helvetica"/>
          <w:b/>
          <w:i w:val="0"/>
          <w:color w:val="333333"/>
          <w:sz w:val="22"/>
        </w:rPr>
        <w:t>Bottleneck"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—the practical impossibility of manually coding every potential rule in complex,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dynamically changing environments.</w:t>
      </w:r>
    </w:p>
    <w:p>
      <w:pPr>
        <w:autoSpaceDN w:val="0"/>
        <w:autoSpaceDE w:val="0"/>
        <w:widowControl/>
        <w:spacing w:line="332" w:lineRule="exact" w:before="1356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3. Computational Intelligence (CI)</w:t>
      </w:r>
    </w:p>
    <w:p>
      <w:pPr>
        <w:autoSpaceDN w:val="0"/>
        <w:autoSpaceDE w:val="0"/>
        <w:widowControl/>
        <w:spacing w:line="352" w:lineRule="exact" w:before="270" w:after="0"/>
        <w:ind w:left="30" w:right="50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In contrast, Computational Intelligence (CI) utilizes a "bottom-up" approach, focusing on adaptive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mechanisms that learn from raw data or interactive environments. Bezdek famously distinguished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CI from traditional AI by stating that a system is computationally intelligent when it begins to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process low-level numeric pattern data, incorporates learning and adaptation, and avoids rigid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symbolic representation.</w:t>
      </w:r>
    </w:p>
    <w:p>
      <w:pPr>
        <w:autoSpaceDN w:val="0"/>
        <w:autoSpaceDE w:val="0"/>
        <w:widowControl/>
        <w:spacing w:line="352" w:lineRule="exact" w:before="304" w:after="0"/>
        <w:ind w:left="30" w:right="50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The primary pillars of Computational Intelligence include: 1. </w:t>
      </w:r>
      <w:r>
        <w:rPr>
          <w:rFonts w:ascii="Helvetica" w:hAnsi="Helvetica" w:eastAsia="Helvetica"/>
          <w:b/>
          <w:i w:val="0"/>
          <w:color w:val="333333"/>
          <w:sz w:val="22"/>
        </w:rPr>
        <w:t xml:space="preserve">Artificial Neural Networks (ANNs):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Connectionist models inspired by biological nervous systems. They consist of layers of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interconnected nodes (neurons) that adjust their synaptic weights via training algorithms (e.g.,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backpropagation) to approximate complex, highly non-linear functions. 2. </w:t>
      </w:r>
      <w:r>
        <w:rPr>
          <w:rFonts w:ascii="Helvetica" w:hAnsi="Helvetica" w:eastAsia="Helvetica"/>
          <w:b/>
          <w:i w:val="0"/>
          <w:color w:val="333333"/>
          <w:sz w:val="22"/>
        </w:rPr>
        <w:t xml:space="preserve">Evolutionary </w:t>
      </w:r>
      <w:r>
        <w:rPr>
          <w:rFonts w:ascii="Helvetica" w:hAnsi="Helvetica" w:eastAsia="Helvetica"/>
          <w:b/>
          <w:i w:val="0"/>
          <w:color w:val="333333"/>
          <w:sz w:val="22"/>
        </w:rPr>
        <w:t>Computation (EC):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Optimization and search paradigms inspired by biological evolution and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genetics (e.g., Genetic Algorithms). They generate optimal solutions through iterative generation,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selection, crossover, and mutation. 3. </w:t>
      </w:r>
      <w:r>
        <w:rPr>
          <w:rFonts w:ascii="Helvetica" w:hAnsi="Helvetica" w:eastAsia="Helvetica"/>
          <w:b/>
          <w:i w:val="0"/>
          <w:color w:val="333333"/>
          <w:sz w:val="22"/>
        </w:rPr>
        <w:t>Fuzzy Logic Systems (FLS):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A mathematical framework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designed to process "approximate" rather than "exact" reasoning. Unlike binary Boolean logic,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fuzzy logic maps membership inputs to continuous truth values between 0 and 1, simulating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human decision-making under uncertainty.</w:t>
      </w:r>
    </w:p>
    <w:p>
      <w:pPr>
        <w:autoSpaceDN w:val="0"/>
        <w:autoSpaceDE w:val="0"/>
        <w:widowControl/>
        <w:spacing w:line="332" w:lineRule="exact" w:before="982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4. Comparative Evaluation: Traditional AI vs. Computational Intelligence</w:t>
      </w:r>
    </w:p>
    <w:p>
      <w:pPr>
        <w:autoSpaceDN w:val="0"/>
        <w:autoSpaceDE w:val="0"/>
        <w:widowControl/>
        <w:spacing w:line="352" w:lineRule="exact" w:before="270" w:after="0"/>
        <w:ind w:left="3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The fundamental differences between the two paradigms can be evaluated across several critical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operational dimensions:</w:t>
      </w:r>
    </w:p>
    <w:p>
      <w:pPr>
        <w:sectPr>
          <w:pgSz w:w="11906" w:h="16838"/>
          <w:pgMar w:top="680" w:right="1104" w:bottom="1014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3226"/>
        <w:gridCol w:w="3226"/>
        <w:gridCol w:w="3226"/>
      </w:tblGrid>
      <w:tr>
        <w:trPr>
          <w:trHeight w:hRule="exact" w:val="1088"/>
        </w:trPr>
        <w:tc>
          <w:tcPr>
            <w:tcW w:type="dxa" w:w="3212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shd w:fill="f2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318" w:after="0"/>
              <w:ind w:left="23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F3A52"/>
                <w:sz w:val="19"/>
              </w:rPr>
              <w:t>Dimension</w:t>
            </w:r>
          </w:p>
        </w:tc>
        <w:tc>
          <w:tcPr>
            <w:tcW w:type="dxa" w:w="3212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shd w:fill="f2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24" w:after="0"/>
              <w:ind w:left="232" w:right="576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F3A52"/>
                <w:sz w:val="19"/>
              </w:rPr>
              <w:t xml:space="preserve">Traditional Artificial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1F3A52"/>
                <w:sz w:val="19"/>
              </w:rPr>
              <w:t>Intelligence (Symbolic AI)</w:t>
            </w:r>
          </w:p>
        </w:tc>
        <w:tc>
          <w:tcPr>
            <w:tcW w:type="dxa" w:w="3214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shd w:fill="f2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24" w:after="0"/>
              <w:ind w:left="234" w:right="432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F3A52"/>
                <w:sz w:val="19"/>
              </w:rPr>
              <w:t xml:space="preserve">Computational Intelligence </w:t>
            </w:r>
            <w:r>
              <w:rPr>
                <w:rFonts w:ascii="Helvetica" w:hAnsi="Helvetica" w:eastAsia="Helvetica"/>
                <w:b/>
                <w:i w:val="0"/>
                <w:color w:val="1F3A52"/>
                <w:sz w:val="19"/>
              </w:rPr>
              <w:t>(Soft Computing)</w:t>
            </w:r>
          </w:p>
        </w:tc>
      </w:tr>
      <w:tr>
        <w:trPr>
          <w:trHeight w:hRule="exact" w:val="1392"/>
        </w:trPr>
        <w:tc>
          <w:tcPr>
            <w:tcW w:type="dxa" w:w="3212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470" w:after="0"/>
              <w:ind w:left="23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333333"/>
                <w:sz w:val="19"/>
              </w:rPr>
              <w:t>Logic &amp; Precision</w:t>
            </w:r>
          </w:p>
        </w:tc>
        <w:tc>
          <w:tcPr>
            <w:tcW w:type="dxa" w:w="3212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22" w:after="0"/>
              <w:ind w:left="232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Binary Boolean logic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(True/False; 0 or 1). Demands 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high precision.</w:t>
            </w:r>
          </w:p>
        </w:tc>
        <w:tc>
          <w:tcPr>
            <w:tcW w:type="dxa" w:w="3214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66" w:after="0"/>
              <w:ind w:left="23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Multi-valued fuzzy logic.</w:t>
            </w:r>
          </w:p>
          <w:p>
            <w:pPr>
              <w:autoSpaceDN w:val="0"/>
              <w:autoSpaceDE w:val="0"/>
              <w:widowControl/>
              <w:spacing w:line="304" w:lineRule="exact" w:before="0" w:after="0"/>
              <w:ind w:left="23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Tolerates imprecision, noise, 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and approximation.</w:t>
            </w:r>
          </w:p>
        </w:tc>
      </w:tr>
      <w:tr>
        <w:trPr>
          <w:trHeight w:hRule="exact" w:val="1392"/>
        </w:trPr>
        <w:tc>
          <w:tcPr>
            <w:tcW w:type="dxa" w:w="3212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470" w:after="0"/>
              <w:ind w:left="23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333333"/>
                <w:sz w:val="19"/>
              </w:rPr>
              <w:t>Reasoning Flow</w:t>
            </w:r>
          </w:p>
        </w:tc>
        <w:tc>
          <w:tcPr>
            <w:tcW w:type="dxa" w:w="3212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24" w:after="0"/>
              <w:ind w:left="232" w:right="288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333333"/>
                <w:sz w:val="19"/>
              </w:rPr>
              <w:t>Top-Down: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 Deductive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reasoning from general rules to 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specific cases (Deduction).</w:t>
            </w:r>
          </w:p>
        </w:tc>
        <w:tc>
          <w:tcPr>
            <w:tcW w:type="dxa" w:w="3214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24" w:after="0"/>
              <w:ind w:left="234" w:right="288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333333"/>
                <w:sz w:val="19"/>
              </w:rPr>
              <w:t>Bottom-Up: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 Inductive learning 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from specific data points 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general patterns (Induction).</w:t>
            </w:r>
          </w:p>
        </w:tc>
      </w:tr>
      <w:tr>
        <w:trPr>
          <w:trHeight w:hRule="exact" w:val="1394"/>
        </w:trPr>
        <w:tc>
          <w:tcPr>
            <w:tcW w:type="dxa" w:w="3212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470" w:after="0"/>
              <w:ind w:left="23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333333"/>
                <w:sz w:val="19"/>
              </w:rPr>
              <w:t>Knowledge Origin</w:t>
            </w:r>
          </w:p>
        </w:tc>
        <w:tc>
          <w:tcPr>
            <w:tcW w:type="dxa" w:w="3212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22" w:after="0"/>
              <w:ind w:left="232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Manually engineered and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hard-coded by human domain 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experts.</w:t>
            </w:r>
          </w:p>
        </w:tc>
        <w:tc>
          <w:tcPr>
            <w:tcW w:type="dxa" w:w="3214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22" w:after="0"/>
              <w:ind w:left="23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Learned dynamically and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autonomously from empirical 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data.</w:t>
            </w:r>
          </w:p>
        </w:tc>
      </w:tr>
      <w:tr>
        <w:trPr>
          <w:trHeight w:hRule="exact" w:val="1390"/>
        </w:trPr>
        <w:tc>
          <w:tcPr>
            <w:tcW w:type="dxa" w:w="3212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468" w:after="0"/>
              <w:ind w:left="23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333333"/>
                <w:sz w:val="19"/>
              </w:rPr>
              <w:t>Adaptability</w:t>
            </w:r>
          </w:p>
        </w:tc>
        <w:tc>
          <w:tcPr>
            <w:tcW w:type="dxa" w:w="3212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20" w:after="0"/>
              <w:ind w:left="232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Static. System rules must be 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manually recoded 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accommodate changes.</w:t>
            </w:r>
          </w:p>
        </w:tc>
        <w:tc>
          <w:tcPr>
            <w:tcW w:type="dxa" w:w="3214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20" w:after="0"/>
              <w:ind w:left="23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Dynamic. Adapts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self-correctively through weight 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adjustments or evolution.</w:t>
            </w:r>
          </w:p>
        </w:tc>
      </w:tr>
      <w:tr>
        <w:trPr>
          <w:trHeight w:hRule="exact" w:val="1392"/>
        </w:trPr>
        <w:tc>
          <w:tcPr>
            <w:tcW w:type="dxa" w:w="3212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470" w:after="0"/>
              <w:ind w:left="23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333333"/>
                <w:sz w:val="19"/>
              </w:rPr>
              <w:t>Explainability</w:t>
            </w:r>
          </w:p>
        </w:tc>
        <w:tc>
          <w:tcPr>
            <w:tcW w:type="dxa" w:w="3212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278" w:after="0"/>
              <w:ind w:left="232" w:right="432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333333"/>
                <w:sz w:val="19"/>
              </w:rPr>
              <w:t>White-Box: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 Decisions are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highly transparent and logical.</w:t>
            </w:r>
          </w:p>
        </w:tc>
        <w:tc>
          <w:tcPr>
            <w:tcW w:type="dxa" w:w="3214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24" w:after="0"/>
              <w:ind w:left="234" w:right="288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333333"/>
                <w:sz w:val="19"/>
              </w:rPr>
              <w:t>Black-Box: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 High mathematical 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complexity makes feature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interactions difficult to audit.</w:t>
            </w:r>
          </w:p>
        </w:tc>
      </w:tr>
      <w:tr>
        <w:trPr>
          <w:trHeight w:hRule="exact" w:val="1698"/>
        </w:trPr>
        <w:tc>
          <w:tcPr>
            <w:tcW w:type="dxa" w:w="3212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22" w:after="0"/>
              <w:ind w:left="23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333333"/>
                <w:sz w:val="19"/>
              </w:rPr>
              <w:t>Real-world Suitability</w:t>
            </w:r>
          </w:p>
        </w:tc>
        <w:tc>
          <w:tcPr>
            <w:tcW w:type="dxa" w:w="3212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274" w:after="0"/>
              <w:ind w:left="232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Structured, rule-bound systems 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(e.g., database management, 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syntax parsing).</w:t>
            </w:r>
          </w:p>
        </w:tc>
        <w:tc>
          <w:tcPr>
            <w:tcW w:type="dxa" w:w="3214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22" w:after="0"/>
              <w:ind w:left="23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Uncertain, non-linear, spatial, 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and noisy tasks (e.g., house 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price forecasting, image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recognition).</w:t>
            </w:r>
          </w:p>
        </w:tc>
      </w:tr>
    </w:tbl>
    <w:p>
      <w:pPr>
        <w:autoSpaceDN w:val="0"/>
        <w:autoSpaceDE w:val="0"/>
        <w:widowControl/>
        <w:spacing w:line="302" w:lineRule="exact" w:before="264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2"/>
        </w:rPr>
        <w:t>Suitability for Housing Price Forecasting</w:t>
      </w:r>
    </w:p>
    <w:p>
      <w:pPr>
        <w:autoSpaceDN w:val="0"/>
        <w:autoSpaceDE w:val="0"/>
        <w:widowControl/>
        <w:spacing w:line="352" w:lineRule="exact" w:before="260" w:after="0"/>
        <w:ind w:left="30" w:right="50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For the task of real estate valuation, traditional symbolic systems are highly deficient. Real estate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prices are governed by highly non-linear correlations, geographical coordinate interactions, and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macro-economic volatility that cannot be expressed as manual IF-THEN rules. By utilizing a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Computational Intelligence approach (such as </w:t>
      </w:r>
      <w:r>
        <w:rPr>
          <w:rFonts w:ascii="Helvetica" w:hAnsi="Helvetica" w:eastAsia="Helvetica"/>
          <w:b/>
          <w:i w:val="0"/>
          <w:color w:val="333333"/>
          <w:sz w:val="22"/>
        </w:rPr>
        <w:t>XGBoost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or </w:t>
      </w:r>
      <w:r>
        <w:rPr>
          <w:rFonts w:ascii="Helvetica" w:hAnsi="Helvetica" w:eastAsia="Helvetica"/>
          <w:b/>
          <w:i w:val="0"/>
          <w:color w:val="333333"/>
          <w:sz w:val="22"/>
        </w:rPr>
        <w:t>Random Forest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ensembles), the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system can autonomously ingest spatial datasets (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estate_train.csv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), model the complex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non-linear interaction of attributes (like mapping Latitude/Longitude coordinates onto prices), and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generalize effectively to predict prices on unseen test cases (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estate_test.csv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).</w:t>
      </w:r>
    </w:p>
    <w:p>
      <w:pPr>
        <w:sectPr>
          <w:pgSz w:w="11906" w:h="16838"/>
          <w:pgMar w:top="704" w:right="1104" w:bottom="880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6"/>
        <w:ind w:left="0" w:right="0"/>
      </w:pPr>
    </w:p>
    <w:p>
      <w:pPr>
        <w:autoSpaceDN w:val="0"/>
        <w:autoSpaceDE w:val="0"/>
        <w:widowControl/>
        <w:spacing w:line="412" w:lineRule="exact" w:before="0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30"/>
        </w:rPr>
        <w:t>Section B: Literature Review (20 Marks)</w:t>
      </w:r>
    </w:p>
    <w:p>
      <w:pPr>
        <w:autoSpaceDN w:val="0"/>
        <w:autoSpaceDE w:val="0"/>
        <w:widowControl/>
        <w:spacing w:line="332" w:lineRule="exact" w:before="528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1. Introduction to Real Estate Valuation Modeling</w:t>
      </w:r>
    </w:p>
    <w:p>
      <w:pPr>
        <w:autoSpaceDN w:val="0"/>
        <w:autoSpaceDE w:val="0"/>
        <w:widowControl/>
        <w:spacing w:line="352" w:lineRule="exact" w:before="270" w:after="0"/>
        <w:ind w:left="30" w:right="80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Real estate price forecasting constitutes a fundamental problem in computational economics and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spatial analysis. The market value of residential properties is determined by a complex,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heterogeneous mixture of physical characteristics (e.g., number of rooms, bedrooms, and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structural age), demographic parameters (e.g., neighborhood population and median income), and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geographical coordinates (latitude and longitude) representing spatial attributes. Historically, real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estate mass appraisal has transitioned from rigid, parametric econometric models to flexible,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data-driven Computational Intelligence (CI) algorithms. This literature review evaluates the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historical development, methodological frameworks, strengths, and constraints of three dominant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paradigms in valuation modeling: Hedonic Pricing Models (HPM), Tree-Based Ensemble methods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(Random Forest and GBDT/XGBoost), and Deep Learning architectures.</w:t>
      </w:r>
    </w:p>
    <w:p>
      <w:pPr>
        <w:autoSpaceDN w:val="0"/>
        <w:autoSpaceDE w:val="0"/>
        <w:widowControl/>
        <w:spacing w:line="332" w:lineRule="exact" w:before="982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2. Hedonic Price Modeling (Parametric Econometric Approaches)</w:t>
      </w:r>
    </w:p>
    <w:p>
      <w:pPr>
        <w:autoSpaceDN w:val="0"/>
        <w:autoSpaceDE w:val="0"/>
        <w:widowControl/>
        <w:spacing w:line="352" w:lineRule="exact" w:before="270" w:after="0"/>
        <w:ind w:left="30" w:right="80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The theoretical foundation of modern real estate valuation originates from Rosen’s Hedonic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Pricing Model (HPM). Rosen posited that goods are valued for their utility-bearing characteristics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rather than the good itself. Consequently, the transaction price of a house can be modeled as a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function of its individual structural, neighborhood, and environmental attributes:</w:t>
      </w:r>
    </w:p>
    <w:p>
      <w:pPr>
        <w:autoSpaceDN w:val="0"/>
        <w:autoSpaceDE w:val="0"/>
        <w:widowControl/>
        <w:spacing w:line="304" w:lineRule="exact" w:before="352" w:after="0"/>
        <w:ind w:left="3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$$P = f(S, N, E) + \epsilon$$</w:t>
      </w:r>
    </w:p>
    <w:p>
      <w:pPr>
        <w:autoSpaceDN w:val="0"/>
        <w:autoSpaceDE w:val="0"/>
        <w:widowControl/>
        <w:spacing w:line="352" w:lineRule="exact" w:before="304" w:after="0"/>
        <w:ind w:left="3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Where $S$ represents structural features, $N$ represents neighborhood demographics, $E$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represents environmental/geographical indicators, and $\epsilon$ is the random error term.</w:t>
      </w:r>
    </w:p>
    <w:p>
      <w:pPr>
        <w:autoSpaceDN w:val="0"/>
        <w:autoSpaceDE w:val="0"/>
        <w:widowControl/>
        <w:spacing w:line="352" w:lineRule="exact" w:before="304" w:after="0"/>
        <w:ind w:left="30" w:right="20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Traditionally, HPM is estimated using parametric techniques such as Ordinary Least Squares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(OLS) linear regression, Ridge regression, or Lasso regression. * </w:t>
      </w:r>
      <w:r>
        <w:rPr>
          <w:rFonts w:ascii="Helvetica" w:hAnsi="Helvetica" w:eastAsia="Helvetica"/>
          <w:b/>
          <w:i w:val="0"/>
          <w:color w:val="333333"/>
          <w:sz w:val="22"/>
        </w:rPr>
        <w:t>Strengths: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The primary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advantage of parametric HPM lies in its statistical transparency and interpretability. OLS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regression outputs explicit coefficients (beta weights) for each characteristic, enabling economists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and appraisers to measure the marginal contribution of individual features (e.g., the exact dollar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value increase associated with adding a bedroom) and perform hypothesis testing via t-statistics. * </w:t>
      </w:r>
      <w:r>
        <w:rPr>
          <w:rFonts w:ascii="Helvetica" w:hAnsi="Helvetica" w:eastAsia="Helvetica"/>
          <w:b/>
          <w:i w:val="0"/>
          <w:color w:val="333333"/>
          <w:sz w:val="22"/>
        </w:rPr>
        <w:t>Limitations and Critique: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Despite its widespread historical adoption, parametric HPM is severely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restricted by several theoretical assumptions. OLS assumes that the relationship between property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attributes and price is strictly linear or log-linear, which fails to capture complex non-linear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dynamics such as the accelerated depreciation of very old properties or diminishing returns on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total rooms. Furthermore, OLS is highly susceptible to </w:t>
      </w:r>
      <w:r>
        <w:rPr>
          <w:rFonts w:ascii="Helvetica" w:hAnsi="Helvetica" w:eastAsia="Helvetica"/>
          <w:b/>
          <w:i w:val="0"/>
          <w:color w:val="333333"/>
          <w:sz w:val="22"/>
        </w:rPr>
        <w:t>multicollinearity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(e.g., the high correlation</w:t>
      </w:r>
    </w:p>
    <w:p>
      <w:pPr>
        <w:sectPr>
          <w:pgSz w:w="11906" w:h="16838"/>
          <w:pgMar w:top="666" w:right="1074" w:bottom="806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8"/>
        <w:ind w:left="0" w:right="0"/>
      </w:pPr>
    </w:p>
    <w:p>
      <w:pPr>
        <w:autoSpaceDN w:val="0"/>
        <w:autoSpaceDE w:val="0"/>
        <w:widowControl/>
        <w:spacing w:line="336" w:lineRule="exact" w:before="0" w:after="0"/>
        <w:ind w:left="30" w:right="50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between the number of rooms and bedrooms) and </w:t>
      </w:r>
      <w:r>
        <w:rPr>
          <w:rFonts w:ascii="Helvetica" w:hAnsi="Helvetica" w:eastAsia="Helvetica"/>
          <w:b/>
          <w:i w:val="0"/>
          <w:color w:val="333333"/>
          <w:sz w:val="22"/>
        </w:rPr>
        <w:t>spatial autocorrelation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, where property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values are geographically clustered, violating the assumption of independent and identically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distributed (i.i.d.) error terms.</w:t>
      </w:r>
    </w:p>
    <w:p>
      <w:pPr>
        <w:autoSpaceDN w:val="0"/>
        <w:autoSpaceDE w:val="0"/>
        <w:widowControl/>
        <w:spacing w:line="332" w:lineRule="exact" w:before="982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3. Non-Parametric Machine Learning &amp; Tree-Based Ensembles</w:t>
      </w:r>
    </w:p>
    <w:p>
      <w:pPr>
        <w:autoSpaceDN w:val="0"/>
        <w:autoSpaceDE w:val="0"/>
        <w:widowControl/>
        <w:spacing w:line="352" w:lineRule="exact" w:before="270" w:after="0"/>
        <w:ind w:left="30" w:right="50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To address the limitations of parametric linearity, researchers have increasingly adopted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non-parametric machine learning models. Unlike HPM, non-parametric algorithms do not assume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a predefined mathematical form for the target function, allowing them to learn arbitrary decision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boundaries directly from empirical data.</w:t>
      </w:r>
    </w:p>
    <w:p>
      <w:pPr>
        <w:autoSpaceDN w:val="0"/>
        <w:autoSpaceDE w:val="0"/>
        <w:widowControl/>
        <w:spacing w:line="302" w:lineRule="exact" w:before="420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2"/>
        </w:rPr>
        <w:t>Random Forest Regressors (Bagging)</w:t>
      </w:r>
    </w:p>
    <w:p>
      <w:pPr>
        <w:autoSpaceDN w:val="0"/>
        <w:autoSpaceDE w:val="0"/>
        <w:widowControl/>
        <w:spacing w:line="352" w:lineRule="exact" w:before="260" w:after="24"/>
        <w:ind w:left="30" w:right="50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Introduced by Breiman, the Random Forest (RF) algorithm is an ensemble method that constructs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a multitude of decision trees during training. To output a prediction, RF averages the outputs of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individual trees (bootstrap aggregation, or bagging), while injecting randomness by selecting a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random subset of features at each split. * </w:t>
      </w:r>
      <w:r>
        <w:rPr>
          <w:rFonts w:ascii="Helvetica" w:hAnsi="Helvetica" w:eastAsia="Helvetica"/>
          <w:b/>
          <w:i w:val="0"/>
          <w:color w:val="333333"/>
          <w:sz w:val="22"/>
        </w:rPr>
        <w:t>Synthesis of Literature: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In comparative studies of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968"/>
        <w:gridCol w:w="968"/>
        <w:gridCol w:w="968"/>
        <w:gridCol w:w="968"/>
        <w:gridCol w:w="968"/>
        <w:gridCol w:w="968"/>
        <w:gridCol w:w="968"/>
        <w:gridCol w:w="968"/>
        <w:gridCol w:w="968"/>
        <w:gridCol w:w="968"/>
      </w:tblGrid>
      <w:tr>
        <w:trPr>
          <w:trHeight w:hRule="exact" w:val="352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2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22"/>
              </w:rPr>
              <w:t xml:space="preserve">mass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2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22"/>
              </w:rPr>
              <w:t xml:space="preserve">appraisal,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2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22"/>
              </w:rPr>
              <w:t xml:space="preserve">Random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2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22"/>
              </w:rPr>
              <w:t xml:space="preserve">Forest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2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22"/>
              </w:rPr>
              <w:t xml:space="preserve">consistently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2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22"/>
              </w:rPr>
              <w:t xml:space="preserve">outperforms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2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22"/>
              </w:rPr>
              <w:t xml:space="preserve">linear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2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22"/>
              </w:rPr>
              <w:t xml:space="preserve">OLS.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2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22"/>
              </w:rPr>
              <w:t xml:space="preserve">Antipov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24" w:after="0"/>
              <w:ind w:left="10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22"/>
              </w:rPr>
              <w:t>and</w:t>
            </w:r>
          </w:p>
        </w:tc>
      </w:tr>
    </w:tbl>
    <w:p>
      <w:pPr>
        <w:autoSpaceDN w:val="0"/>
        <w:autoSpaceDE w:val="0"/>
        <w:widowControl/>
        <w:spacing w:line="348" w:lineRule="exact" w:before="0" w:after="0"/>
        <w:ind w:left="30" w:right="50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Pokryshevskaya demonstrated that RF handles spatial interactions and multicollinearity natively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without requiring complex variable transformations. Furthermore, because it averages predictions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across hundreds of independent trees, RF exhibits high robustness against overfitting and is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insensitive to outliers—a common occurrence in housing datasets containing luxury estates or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distressed properties.</w:t>
      </w:r>
    </w:p>
    <w:p>
      <w:pPr>
        <w:autoSpaceDN w:val="0"/>
        <w:autoSpaceDE w:val="0"/>
        <w:widowControl/>
        <w:spacing w:line="302" w:lineRule="exact" w:before="420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2"/>
        </w:rPr>
        <w:t>Gradient Boosting and XGBoost (Boosting)</w:t>
      </w:r>
    </w:p>
    <w:p>
      <w:pPr>
        <w:autoSpaceDN w:val="0"/>
        <w:autoSpaceDE w:val="0"/>
        <w:widowControl/>
        <w:spacing w:line="352" w:lineRule="exact" w:before="260" w:after="0"/>
        <w:ind w:left="30" w:right="50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While Random Forest grows trees in parallel, Gradient Boosting Decision Trees (GBDT) build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trees sequentially. Each new tree is trained to predict the residuals (errors) of the preceding trees,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using gradient descent optimization to minimize a loss function. Chen and Guestrin optimized this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paradigm by introducing </w:t>
      </w:r>
      <w:r>
        <w:rPr>
          <w:rFonts w:ascii="Helvetica" w:hAnsi="Helvetica" w:eastAsia="Helvetica"/>
          <w:b/>
          <w:i w:val="0"/>
          <w:color w:val="333333"/>
          <w:sz w:val="22"/>
        </w:rPr>
        <w:t>XGBoost (Extreme Gradient Boosting)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, which incorporates a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regularized objective function to control model complexity and prevent overfitting, alongside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parallelized tree construction. * </w:t>
      </w:r>
      <w:r>
        <w:rPr>
          <w:rFonts w:ascii="Helvetica" w:hAnsi="Helvetica" w:eastAsia="Helvetica"/>
          <w:b/>
          <w:i w:val="0"/>
          <w:color w:val="333333"/>
          <w:sz w:val="22"/>
        </w:rPr>
        <w:t>Synthesis of Literature: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GBDT and XGBoost have emerged as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the state-of-the-art for tabular regression tasks. Mullainathan and Spiess highlighted that boosting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algorithms excel at mapping complex coordinate interactions (Latitude and Longitude) to local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neighborhood values, representing a significant improvement over traditional dummy variables for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submarkets. The algorithm's built-in handling of missing values and computational efficiency make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it highly suitable for production-level API deployment.</w:t>
      </w:r>
    </w:p>
    <w:p>
      <w:pPr>
        <w:sectPr>
          <w:pgSz w:w="11906" w:h="16838"/>
          <w:pgMar w:top="680" w:right="1104" w:bottom="75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6"/>
        <w:ind w:left="0" w:right="0"/>
      </w:pPr>
    </w:p>
    <w:p>
      <w:pPr>
        <w:autoSpaceDN w:val="0"/>
        <w:autoSpaceDE w:val="0"/>
        <w:widowControl/>
        <w:spacing w:line="332" w:lineRule="exact" w:before="0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4. Artificial Neural Networks (Connectionist Systems / Deep Learning)</w:t>
      </w:r>
    </w:p>
    <w:p>
      <w:pPr>
        <w:autoSpaceDN w:val="0"/>
        <w:autoSpaceDE w:val="0"/>
        <w:widowControl/>
        <w:spacing w:line="352" w:lineRule="exact" w:before="270" w:after="0"/>
        <w:ind w:left="30" w:right="50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Artificial Neural Networks (ANNs), particularly Multi-Layer Perceptrons (MLPs), represent another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prominent non-parametric paradigm. Drawing inspiration from biological neural pathways, ANNs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pass input features through multiple hidden layers of interconnected nodes where non-linear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activation functions (e.g., ReLU) are applied.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304" w:after="0"/>
        <w:ind w:left="330" w:right="144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/>
          <w:i w:val="0"/>
          <w:color w:val="333333"/>
          <w:sz w:val="22"/>
        </w:rPr>
        <w:t>Synthesis of Literature: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In real estate forecasting, ANNs act as universal function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approximators capable of modeling extremely intricate, high-dimensional interactions.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Limsombunchao compared OLS and ANNs on housing datasets and concluded that the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connectionist approach achieves lower Root Mean Squared Error (RMSE) due to its ability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to model complex structural-spatial interactions.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50" w:after="0"/>
        <w:ind w:left="330" w:right="288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/>
          <w:i w:val="0"/>
          <w:color w:val="333333"/>
          <w:sz w:val="22"/>
        </w:rPr>
        <w:t>Limitations and Critique: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However, deep learning models present significant drawbacks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when applied to tabular datasets of moderate size (e.g., under 50,000 observations).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Grinsztajn, Oyallon and Varoquaux conducted extensive benchmarks comparing deep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learning architectures to tree ensembles on tabular data, finding that tree-based models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(like XGBoost and Random Forest) consistently outperform ANNs. Neural networks are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highly sensitive to hyperparameter choices, require extensive data normalization, are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computationally expensive to train, and suffer from a complete lack of interpretability (the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"black box" problem), making them less practical for real estate markets where 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transparency is legally or socially required.</w:t>
      </w:r>
    </w:p>
    <w:p>
      <w:pPr>
        <w:autoSpaceDN w:val="0"/>
        <w:autoSpaceDE w:val="0"/>
        <w:widowControl/>
        <w:spacing w:line="332" w:lineRule="exact" w:before="1356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5. Summary and Synthesis of Model Selection</w:t>
      </w:r>
    </w:p>
    <w:p>
      <w:pPr>
        <w:autoSpaceDN w:val="0"/>
        <w:autoSpaceDE w:val="0"/>
        <w:widowControl/>
        <w:spacing w:line="352" w:lineRule="exact" w:before="270" w:after="0"/>
        <w:ind w:left="30" w:right="50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Based on the literature review, the model selections for this project are justified as follows: 1. </w:t>
      </w:r>
      <w:r>
        <w:rPr>
          <w:rFonts w:ascii="Helvetica" w:hAnsi="Helvetica" w:eastAsia="Helvetica"/>
          <w:b/>
          <w:i w:val="0"/>
          <w:color w:val="333333"/>
          <w:sz w:val="22"/>
        </w:rPr>
        <w:t>Linear Regression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serves as the essential parametric baseline, representing traditional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econometric appraisal (HPM) to highlight the performance gains of non-parametric approaches. 2. </w:t>
      </w:r>
      <w:r>
        <w:rPr>
          <w:rFonts w:ascii="Helvetica" w:hAnsi="Helvetica" w:eastAsia="Helvetica"/>
          <w:b/>
          <w:i w:val="0"/>
          <w:color w:val="333333"/>
          <w:sz w:val="22"/>
        </w:rPr>
        <w:t>Random Forest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is selected as a robust bagging ensemble to handle structural multicollinearity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and outlier variance. 3. </w:t>
      </w:r>
      <w:r>
        <w:rPr>
          <w:rFonts w:ascii="Helvetica" w:hAnsi="Helvetica" w:eastAsia="Helvetica"/>
          <w:b/>
          <w:i w:val="0"/>
          <w:color w:val="333333"/>
          <w:sz w:val="22"/>
        </w:rPr>
        <w:t>XGBoost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represents the state-of-the-art regularized boosting paradigm,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selected for its superior predictive performance on tabular coordinate and demographic data.</w:t>
      </w:r>
    </w:p>
    <w:p>
      <w:pPr>
        <w:autoSpaceDN w:val="0"/>
        <w:autoSpaceDE w:val="0"/>
        <w:widowControl/>
        <w:spacing w:line="480" w:lineRule="exact" w:before="994" w:after="0"/>
        <w:ind w:left="30" w:right="432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30"/>
        </w:rPr>
        <w:t xml:space="preserve">Section C: Exploratory Data Analysis (EDA) and Model Influence </w:t>
      </w:r>
      <w:r>
        <w:rPr>
          <w:rFonts w:ascii="Helvetica" w:hAnsi="Helvetica" w:eastAsia="Helvetica"/>
          <w:b/>
          <w:i w:val="0"/>
          <w:color w:val="1F3A52"/>
          <w:sz w:val="30"/>
        </w:rPr>
        <w:t>(10 Marks)</w:t>
      </w:r>
    </w:p>
    <w:p>
      <w:pPr>
        <w:sectPr>
          <w:pgSz w:w="11906" w:h="16838"/>
          <w:pgMar w:top="676" w:right="1104" w:bottom="914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8"/>
        <w:ind w:left="0" w:right="0"/>
      </w:pPr>
    </w:p>
    <w:p>
      <w:pPr>
        <w:autoSpaceDN w:val="0"/>
        <w:autoSpaceDE w:val="0"/>
        <w:widowControl/>
        <w:spacing w:line="340" w:lineRule="exact" w:before="0" w:after="0"/>
        <w:ind w:left="30" w:right="50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Exploratory Data Analysis (EDA) was carried out to understand the structure, distribution, and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relationships within the dataset for the real estate price prediction task. The analysis aimed to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identify data quality issues, target distribution, feature behavior, and correlations that affect model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performance and algorithmic choices.</w:t>
      </w:r>
    </w:p>
    <w:p>
      <w:pPr>
        <w:autoSpaceDN w:val="0"/>
        <w:autoSpaceDE w:val="0"/>
        <w:widowControl/>
        <w:spacing w:line="352" w:lineRule="exact" w:before="304" w:after="0"/>
        <w:ind w:left="3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The training dataset has 16,512 observations and 11 attributes. These include physical structural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attributes, local demographic indicators, and geographic coordinates, along with the continuous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target variable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TargetPrice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. An initial check showed missing values in the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PropertyAge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feature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(~7.9% of training records) and the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TotalBedrooms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feature (~0.1%). The dataset contains a mix of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numerical (float and integer) and engineered categorical variables, supporting the use of robust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scaling, imputation, and encoding pipelines during model development.</w:t>
      </w:r>
    </w:p>
    <w:p>
      <w:pPr>
        <w:autoSpaceDN w:val="0"/>
        <w:autoSpaceDE w:val="0"/>
        <w:widowControl/>
        <w:spacing w:line="332" w:lineRule="exact" w:before="982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3.1 Target Variable Distribution and Boundary Capping</w:t>
      </w:r>
    </w:p>
    <w:p>
      <w:pPr>
        <w:autoSpaceDN w:val="0"/>
        <w:autoSpaceDE w:val="0"/>
        <w:widowControl/>
        <w:spacing w:line="352" w:lineRule="exact" w:before="270" w:after="0"/>
        <w:ind w:left="3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The target variable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TargetPrice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shows the transaction price of properties (scaled by a factor of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100,000, e.g. a target value of 2.3367 represents a price of $233,671.67). Unlike classification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tasks,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TargetPrice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is a continuous numerical variable. Analysis of its distribution showed a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right-skewed layout with a sharp spike at the upper boundary (5.0001), representing a hard price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cap of $500,000 imposed during data collection.</w:t>
      </w:r>
    </w:p>
    <w:p>
      <w:pPr>
        <w:autoSpaceDN w:val="0"/>
        <w:autoSpaceDE w:val="0"/>
        <w:widowControl/>
        <w:spacing w:line="352" w:lineRule="exact" w:before="304" w:after="0"/>
        <w:ind w:left="3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Because of this boundary limit and skewness, standard linear regressions are prone to predicting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negative values or out-of-bounds prices. So, we chose to implement a clipping threshold (capping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predictions at 0.0) in our model inference pipeline (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app.py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and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06_model_inference.ipynb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).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Furthermore, this boundary behavior supported the use of non-parametric tree ensembles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(XGBoost and Random Forest), which construct split boundaries and handle capped limits and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skewness natively without requiring mathematical target transformations.</w:t>
      </w:r>
    </w:p>
    <w:p>
      <w:pPr>
        <w:autoSpaceDN w:val="0"/>
        <w:autoSpaceDE w:val="0"/>
        <w:widowControl/>
        <w:spacing w:line="332" w:lineRule="exact" w:before="982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3.2 Numerical Feature Distributions and Outliers</w:t>
      </w:r>
    </w:p>
    <w:p>
      <w:pPr>
        <w:autoSpaceDN w:val="0"/>
        <w:autoSpaceDE w:val="0"/>
        <w:widowControl/>
        <w:spacing w:line="352" w:lineRule="exact" w:before="270" w:after="0"/>
        <w:ind w:left="30" w:right="50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The distributions of numerical features were examined using histograms with KDE overlays to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identify skewness, outliers, and general trends (see Figure 1). To further validate the presence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and spread of outliers, boxplots were compiled for all numerical attributes (see Figure 2).</w:t>
      </w:r>
    </w:p>
    <w:p>
      <w:pPr>
        <w:sectPr>
          <w:pgSz w:w="11906" w:h="16838"/>
          <w:pgMar w:top="680" w:right="1104" w:bottom="1440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8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094730" cy="42519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94730" cy="4251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720" w:right="1134" w:bottom="1440" w:left="115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8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094730" cy="45440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94730" cy="4544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52" w:lineRule="exact" w:before="178" w:after="0"/>
        <w:ind w:left="30" w:right="50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Applicant area income (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IncomeLevel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) showed a right-skewed distribution, indicating that most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property neighborhoods belong to middle-income classes, while a few represent high-income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districts. Average occupancy (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AvgOccupancy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) and rooms per household (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RoomsPerHousehold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)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exhibited extreme right-skewed distributions with heavy outlier tails (e.g., maximum occupancy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values reaching 1,243 and rooms exceeding 50 per household), which are clearly highlighted by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individual points outside the boxplot whiskers.</w:t>
      </w:r>
    </w:p>
    <w:p>
      <w:pPr>
        <w:autoSpaceDN w:val="0"/>
        <w:autoSpaceDE w:val="0"/>
        <w:widowControl/>
        <w:spacing w:line="352" w:lineRule="exact" w:before="304" w:after="0"/>
        <w:ind w:left="3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Geographical coordinates (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Latitude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and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Longitude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) displayed multi-modal spatial distributions,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representing major population and housing clusters (e.g., coastal and metropolitan hubs).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Because of these spatial and skewed patterns, standard linear scaling would be heavily distorted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by extreme outliers. This influenced the decision to use robust tree-based ensembles (XGBoost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and Random Forest) that are rank-based and invariant to monotonic scale transformations,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making them immune to outlier scaling bias.</w:t>
      </w:r>
    </w:p>
    <w:p>
      <w:pPr>
        <w:autoSpaceDN w:val="0"/>
        <w:autoSpaceDE w:val="0"/>
        <w:widowControl/>
        <w:spacing w:line="330" w:lineRule="exact" w:before="984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3.3 Categorical and Engineered Feature Analysis</w:t>
      </w:r>
    </w:p>
    <w:p>
      <w:pPr>
        <w:sectPr>
          <w:pgSz w:w="11906" w:h="16838"/>
          <w:pgMar w:top="720" w:right="1104" w:bottom="111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8"/>
        <w:ind w:left="0" w:right="0"/>
      </w:pPr>
    </w:p>
    <w:p>
      <w:pPr>
        <w:autoSpaceDN w:val="0"/>
        <w:autoSpaceDE w:val="0"/>
        <w:widowControl/>
        <w:spacing w:line="340" w:lineRule="exact" w:before="0" w:after="0"/>
        <w:ind w:left="30" w:right="50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To capture the non-linear depreciation of housing values over time, the numerical feature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PropertyAge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was engineered into a categorical feature (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PropertyAge_bins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) using structural age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brackets: 'New' ($\le 15$ years), 'Moderate' ($16-35$ years), and 'Old' ($&gt;35$ years) (see Figure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3).</w:t>
      </w:r>
    </w:p>
    <w:p>
      <w:pPr>
        <w:autoSpaceDN w:val="0"/>
        <w:autoSpaceDE w:val="0"/>
        <w:widowControl/>
        <w:spacing w:line="240" w:lineRule="auto" w:before="4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094730" cy="45478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94730" cy="4547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52" w:lineRule="exact" w:before="176" w:after="0"/>
        <w:ind w:left="30" w:right="50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To mathematically prove that these binned age groups represent statistically distinct house prices,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we conducted formal hypothesis testing: * </w:t>
      </w:r>
      <w:r>
        <w:rPr>
          <w:rFonts w:ascii="Helvetica" w:hAnsi="Helvetica" w:eastAsia="Helvetica"/>
          <w:b/>
          <w:i w:val="0"/>
          <w:color w:val="333333"/>
          <w:sz w:val="22"/>
        </w:rPr>
        <w:t>ANOVA F-Test: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A one-way Analysis of Variance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(ANOVA) test across the three age categories resulted in a highly significant </w:t>
      </w:r>
      <w:r>
        <w:rPr>
          <w:rFonts w:ascii="Helvetica" w:hAnsi="Helvetica" w:eastAsia="Helvetica"/>
          <w:b/>
          <w:i w:val="0"/>
          <w:color w:val="333333"/>
          <w:sz w:val="22"/>
        </w:rPr>
        <w:t xml:space="preserve">F-statistic of 113.82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and a </w:t>
      </w:r>
      <w:r>
        <w:rPr>
          <w:rFonts w:ascii="Helvetica" w:hAnsi="Helvetica" w:eastAsia="Helvetica"/>
          <w:b/>
          <w:i w:val="0"/>
          <w:color w:val="333333"/>
          <w:sz w:val="22"/>
        </w:rPr>
        <w:t>p-value of 0.0000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($p &lt; 0.05$). This statistically confirms that the mean housing prices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among 'New', 'Moderate', and 'Old' properties are significantly different. * </w:t>
      </w:r>
      <w:r>
        <w:rPr>
          <w:rFonts w:ascii="Helvetica" w:hAnsi="Helvetica" w:eastAsia="Helvetica"/>
          <w:b/>
          <w:i w:val="0"/>
          <w:color w:val="333333"/>
          <w:sz w:val="22"/>
        </w:rPr>
        <w:t>Student's T-Test: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An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independent two-sample t-test between the 'New' and 'Old' property subsets yielded a </w:t>
      </w:r>
      <w:r>
        <w:rPr>
          <w:rFonts w:ascii="Helvetica" w:hAnsi="Helvetica" w:eastAsia="Helvetica"/>
          <w:b/>
          <w:i w:val="0"/>
          <w:color w:val="333333"/>
          <w:sz w:val="22"/>
        </w:rPr>
        <w:t xml:space="preserve">t-statistic </w:t>
      </w:r>
      <w:r>
        <w:rPr>
          <w:rFonts w:ascii="Helvetica" w:hAnsi="Helvetica" w:eastAsia="Helvetica"/>
          <w:b/>
          <w:i w:val="0"/>
          <w:color w:val="333333"/>
          <w:sz w:val="22"/>
        </w:rPr>
        <w:t>of 14.85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and a </w:t>
      </w:r>
      <w:r>
        <w:rPr>
          <w:rFonts w:ascii="Helvetica" w:hAnsi="Helvetica" w:eastAsia="Helvetica"/>
          <w:b/>
          <w:i w:val="0"/>
          <w:color w:val="333333"/>
          <w:sz w:val="22"/>
        </w:rPr>
        <w:t>p-value of 0.0000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, confirming that new properties command a statistically higher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price profile.</w:t>
      </w:r>
    </w:p>
    <w:p>
      <w:pPr>
        <w:autoSpaceDN w:val="0"/>
        <w:autoSpaceDE w:val="0"/>
        <w:widowControl/>
        <w:spacing w:line="352" w:lineRule="exact" w:before="304" w:after="0"/>
        <w:ind w:left="30" w:right="50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This statistical validation justified our encoding strategy (Ordinal Encoding) in the preprocessing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pipeline, allowing tree splits in XGBoost and Random Forest to branch on clean structural age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thresholds.</w:t>
      </w:r>
    </w:p>
    <w:p>
      <w:pPr>
        <w:sectPr>
          <w:pgSz w:w="11906" w:h="16838"/>
          <w:pgMar w:top="680" w:right="1104" w:bottom="778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6"/>
        <w:ind w:left="0" w:right="0"/>
      </w:pPr>
    </w:p>
    <w:p>
      <w:pPr>
        <w:autoSpaceDN w:val="0"/>
        <w:autoSpaceDE w:val="0"/>
        <w:widowControl/>
        <w:spacing w:line="332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3.4 Correlation Analysis</w:t>
      </w:r>
    </w:p>
    <w:p>
      <w:pPr>
        <w:autoSpaceDN w:val="0"/>
        <w:autoSpaceDE w:val="0"/>
        <w:widowControl/>
        <w:spacing w:line="352" w:lineRule="exact" w:before="27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A correlation heatmap was created to look at linear relationships between numerical features and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the target variable (see Figure 4).</w:t>
      </w:r>
    </w:p>
    <w:p>
      <w:pPr>
        <w:autoSpaceDN w:val="0"/>
        <w:autoSpaceDE w:val="0"/>
        <w:widowControl/>
        <w:spacing w:line="240" w:lineRule="auto" w:before="432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94730" cy="55511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94730" cy="5551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52" w:lineRule="exact" w:before="17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A strong positive correlation was found between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TotalRooms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and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TotalBedrooms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(correlation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coefficient </w:t>
      </w:r>
      <w:r>
        <w:rPr>
          <w:rFonts w:ascii="Symbol" w:hAnsi="Symbol" w:eastAsia="Symbol"/>
          <w:b w:val="0"/>
          <w:i w:val="0"/>
          <w:color w:val="333333"/>
          <w:sz w:val="22"/>
        </w:rPr>
        <w:t>≈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0.85). In linear models, this causes severe multicollinearity, inflating the variance of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regression coefficients and rendering the model unstable. To balance this, we engineered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BedroomsRatio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($r \approx -0.26$).</w:t>
      </w:r>
    </w:p>
    <w:p>
      <w:pPr>
        <w:autoSpaceDN w:val="0"/>
        <w:autoSpaceDE w:val="0"/>
        <w:widowControl/>
        <w:spacing w:line="352" w:lineRule="exact" w:before="30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Regarding the target variable,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IncomeLevel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showed a strong positive correlation with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TargetPrice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($r \approx 0.69$), identifying it as the single most predictive feature. Coordinates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Latitude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and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Longitude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showed weak individual linear correlations ($r \approx -0.08$ and $r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\approx -0.05$), yet they are highly predictive of house price through geographic interaction. This</w:t>
      </w:r>
    </w:p>
    <w:p>
      <w:pPr>
        <w:sectPr>
          <w:pgSz w:w="11906" w:h="16838"/>
          <w:pgMar w:top="676" w:right="1074" w:bottom="854" w:left="115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8"/>
        <w:ind w:left="0" w:right="0"/>
      </w:pPr>
    </w:p>
    <w:p>
      <w:pPr>
        <w:autoSpaceDN w:val="0"/>
        <w:autoSpaceDE w:val="0"/>
        <w:widowControl/>
        <w:spacing w:line="328" w:lineRule="exact" w:before="0" w:after="0"/>
        <w:ind w:left="3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required using models like XGBoost that split coordinates in multi-dimensional space to capture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localized value groups.</w:t>
      </w:r>
    </w:p>
    <w:p>
      <w:pPr>
        <w:autoSpaceDN w:val="0"/>
        <w:autoSpaceDE w:val="0"/>
        <w:widowControl/>
        <w:spacing w:line="332" w:lineRule="exact" w:before="982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Key Insights from EDA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70" w:after="0"/>
        <w:ind w:left="330" w:right="288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The dataset has missing values in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PropertyAge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, which were dropped during training to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preserve distribution shapes, but handled via median imputer in production to handle user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default inputs.</w:t>
      </w:r>
    </w:p>
    <w:p>
      <w:pPr>
        <w:autoSpaceDN w:val="0"/>
        <w:tabs>
          <w:tab w:pos="660" w:val="left"/>
        </w:tabs>
        <w:autoSpaceDE w:val="0"/>
        <w:widowControl/>
        <w:spacing w:line="304" w:lineRule="exact" w:before="198" w:after="0"/>
        <w:ind w:left="33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The target price is right-skewed with a cap at 5.0, requiring clipping bounds in inference.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50" w:after="0"/>
        <w:ind w:left="330" w:right="288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Indicators like occupancy and rooms per household have heavy outlier tails, directing our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choice toward tree-based ensembles (XGBoost/Random Forest) that are naturally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outlier-resistant.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50" w:after="0"/>
        <w:ind w:left="330" w:right="288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Location coordinates do not exhibit simple linear relationships, calling for non-parametric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model architectures.</w:t>
      </w:r>
    </w:p>
    <w:p>
      <w:pPr>
        <w:autoSpaceDN w:val="0"/>
        <w:autoSpaceDE w:val="0"/>
        <w:widowControl/>
        <w:spacing w:line="352" w:lineRule="exact" w:before="634" w:after="0"/>
        <w:ind w:left="3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In general, the exploratory data analysis offered a solid basis for feature engineering, model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selection, and evaluation strategies used in this project.</w:t>
      </w:r>
    </w:p>
    <w:p>
      <w:pPr>
        <w:autoSpaceDN w:val="0"/>
        <w:autoSpaceDE w:val="0"/>
        <w:widowControl/>
        <w:spacing w:line="412" w:lineRule="exact" w:before="1062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30"/>
        </w:rPr>
        <w:t>Section D: System Architecture (10 Marks)</w:t>
      </w:r>
    </w:p>
    <w:p>
      <w:pPr>
        <w:autoSpaceDN w:val="0"/>
        <w:autoSpaceDE w:val="0"/>
        <w:widowControl/>
        <w:spacing w:line="332" w:lineRule="exact" w:before="528" w:after="34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1. Processing Pipeline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9678"/>
      </w:tblGrid>
      <w:tr>
        <w:trPr>
          <w:trHeight w:hRule="exact" w:val="3066"/>
        </w:trPr>
        <w:tc>
          <w:tcPr>
            <w:tcW w:type="dxa" w:w="9638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32" w:after="0"/>
              <w:ind w:left="156" w:right="144" w:firstLine="0"/>
              <w:jc w:val="left"/>
            </w:pPr>
            <w:r>
              <w:rPr>
                <w:rFonts w:ascii="Courier" w:hAnsi="Courier" w:eastAsia="Courier"/>
                <w:b w:val="0"/>
                <w:i w:val="0"/>
                <w:color w:val="333333"/>
                <w:sz w:val="19"/>
              </w:rPr>
              <w:t xml:space="preserve">graph TD A[estate_train.csv / Raw Data] --&gt; B[Data Cleaning: Drop ID, Drop </w:t>
            </w:r>
            <w:r>
              <w:rPr>
                <w:rFonts w:ascii="Courier" w:hAnsi="Courier" w:eastAsia="Courier"/>
                <w:b w:val="0"/>
                <w:i w:val="0"/>
                <w:color w:val="333333"/>
                <w:sz w:val="19"/>
              </w:rPr>
              <w:t xml:space="preserve">PropertyAge NaNs] B --&gt; C[Feature Engineering: PropertyAge Binning] C --&gt; </w:t>
            </w:r>
            <w:r>
              <w:rPr>
                <w:rFonts w:ascii="Courier" w:hAnsi="Courier" w:eastAsia="Courier"/>
                <w:b w:val="0"/>
                <w:i w:val="0"/>
                <w:color w:val="333333"/>
                <w:sz w:val="19"/>
              </w:rPr>
              <w:t xml:space="preserve">D[ColumnTransformer Preprocessing: Imputation + StandardScaler + OrdinalEncoder] </w:t>
            </w:r>
            <w:r>
              <w:rPr>
                <w:rFonts w:ascii="Courier" w:hAnsi="Courier" w:eastAsia="Courier"/>
                <w:b w:val="0"/>
                <w:i w:val="0"/>
                <w:color w:val="333333"/>
                <w:sz w:val="19"/>
              </w:rPr>
              <w:t xml:space="preserve">D --&gt; E[Train-Test Split 80/20] E --&gt; F[GridSearchCV Hyperparameter Tuning] F --&gt; </w:t>
            </w:r>
            <w:r>
              <w:rPr>
                <w:rFonts w:ascii="Courier" w:hAnsi="Courier" w:eastAsia="Courier"/>
                <w:b w:val="0"/>
                <w:i w:val="0"/>
                <w:color w:val="333333"/>
                <w:sz w:val="19"/>
              </w:rPr>
              <w:t xml:space="preserve">G[Linear, RF, and XGBoost Best Estimators] G --&gt; H[Model Serialization: 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333333"/>
                <w:sz w:val="19"/>
              </w:rPr>
              <w:t xml:space="preserve">joblib.dump] H --&gt; I[Flask Web Server: app.py] J[estate_test.csv] --&gt; K[Impute </w:t>
            </w:r>
            <w:r>
              <w:rPr>
                <w:rFonts w:ascii="Courier" w:hAnsi="Courier" w:eastAsia="Courier"/>
                <w:b w:val="0"/>
                <w:i w:val="0"/>
                <w:color w:val="333333"/>
                <w:sz w:val="19"/>
              </w:rPr>
              <w:t xml:space="preserve">Test Age via Train Median] K --&gt; L[Test set Binning] L --&gt; M[Fitted Preprocessor </w:t>
            </w:r>
            <w:r>
              <w:rPr>
                <w:rFonts w:ascii="Courier" w:hAnsi="Courier" w:eastAsia="Courier"/>
                <w:b w:val="0"/>
                <w:i w:val="0"/>
                <w:color w:val="333333"/>
                <w:sz w:val="19"/>
              </w:rPr>
              <w:t xml:space="preserve">Transform] M --&gt; N[Predict TargetPrice using Saved XGBoost Model] N --&gt; 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333333"/>
                <w:sz w:val="19"/>
              </w:rPr>
              <w:t>O[submission.csv]</w:t>
            </w:r>
          </w:p>
        </w:tc>
      </w:tr>
    </w:tbl>
    <w:p>
      <w:pPr>
        <w:autoSpaceDN w:val="0"/>
        <w:autoSpaceDE w:val="0"/>
        <w:widowControl/>
        <w:spacing w:line="332" w:lineRule="exact" w:before="286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2. Model Selection Justification</w:t>
      </w:r>
    </w:p>
    <w:p>
      <w:pPr>
        <w:sectPr>
          <w:pgSz w:w="11906" w:h="16838"/>
          <w:pgMar w:top="680" w:right="1104" w:bottom="1004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8"/>
        <w:ind w:left="0" w:right="0"/>
      </w:pPr>
    </w:p>
    <w:p>
      <w:pPr>
        <w:autoSpaceDN w:val="0"/>
        <w:tabs>
          <w:tab w:pos="660" w:val="left"/>
        </w:tabs>
        <w:autoSpaceDE w:val="0"/>
        <w:widowControl/>
        <w:spacing w:line="328" w:lineRule="exact" w:before="0" w:after="0"/>
        <w:ind w:left="330" w:right="576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/>
          <w:i w:val="0"/>
          <w:color w:val="333333"/>
          <w:sz w:val="22"/>
        </w:rPr>
        <w:t>Linear Regression: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Baseline regression model, fast and simple but restricted to linear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relationships.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50" w:after="0"/>
        <w:ind w:left="33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/>
          <w:i w:val="0"/>
          <w:color w:val="333333"/>
          <w:sz w:val="22"/>
        </w:rPr>
        <w:t>Random Forest: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Averages many independent decision trees. By introducing randomness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during tree splitting, it reduces variance, increases stability, and provides robust predictions.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50" w:after="0"/>
        <w:ind w:left="33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/>
          <w:i w:val="0"/>
          <w:color w:val="333333"/>
          <w:sz w:val="22"/>
        </w:rPr>
        <w:t>XGBoost: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A powerful gradient boosted decision trees algorithm. It trains trees sequentially,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where each tree corrects errors of the previous ones. It is highly optimized, handles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complex non-linear relationships, and achieves outstanding accuracy.</w:t>
      </w:r>
    </w:p>
    <w:p>
      <w:pPr>
        <w:autoSpaceDN w:val="0"/>
        <w:autoSpaceDE w:val="0"/>
        <w:widowControl/>
        <w:spacing w:line="412" w:lineRule="exact" w:before="1436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30"/>
        </w:rPr>
        <w:t>Section E: Full Model Evaluation &amp; Implementation (40 Marks)</w:t>
      </w:r>
    </w:p>
    <w:p>
      <w:pPr>
        <w:autoSpaceDN w:val="0"/>
        <w:autoSpaceDE w:val="0"/>
        <w:widowControl/>
        <w:spacing w:line="332" w:lineRule="exact" w:before="528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1. Performance Results (Test Set)</w:t>
      </w:r>
    </w:p>
    <w:p>
      <w:pPr>
        <w:autoSpaceDN w:val="0"/>
        <w:autoSpaceDE w:val="0"/>
        <w:widowControl/>
        <w:spacing w:line="352" w:lineRule="exact" w:before="270" w:after="424"/>
        <w:ind w:left="3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The models were trained using 6-fold cross-validation on the training set and evaluated on the test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set: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1392"/>
        </w:trPr>
        <w:tc>
          <w:tcPr>
            <w:tcW w:type="dxa" w:w="1926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shd w:fill="f2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470" w:after="0"/>
              <w:ind w:left="23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F3A52"/>
                <w:sz w:val="19"/>
              </w:rPr>
              <w:t>Model</w:t>
            </w:r>
          </w:p>
        </w:tc>
        <w:tc>
          <w:tcPr>
            <w:tcW w:type="dxa" w:w="1930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shd w:fill="f2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276" w:after="0"/>
              <w:ind w:left="23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F3A52"/>
                <w:sz w:val="19"/>
              </w:rPr>
              <w:t xml:space="preserve">Tuning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1F3A52"/>
                <w:sz w:val="19"/>
              </w:rPr>
              <w:t>Hyperparameters</w:t>
            </w:r>
          </w:p>
        </w:tc>
        <w:tc>
          <w:tcPr>
            <w:tcW w:type="dxa" w:w="1928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shd w:fill="f2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470" w:after="0"/>
              <w:ind w:left="23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F3A52"/>
                <w:sz w:val="19"/>
              </w:rPr>
              <w:t>$R^2$ Score</w:t>
            </w:r>
          </w:p>
        </w:tc>
        <w:tc>
          <w:tcPr>
            <w:tcW w:type="dxa" w:w="1926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shd w:fill="f2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24" w:after="0"/>
              <w:ind w:left="230" w:right="288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F3A52"/>
                <w:sz w:val="19"/>
              </w:rPr>
              <w:t xml:space="preserve">Root Mean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1F3A52"/>
                <w:sz w:val="19"/>
              </w:rPr>
              <w:t xml:space="preserve">Squared Error </w:t>
            </w:r>
            <w:r>
              <w:rPr>
                <w:rFonts w:ascii="Helvetica" w:hAnsi="Helvetica" w:eastAsia="Helvetica"/>
                <w:b/>
                <w:i w:val="0"/>
                <w:color w:val="1F3A52"/>
                <w:sz w:val="19"/>
              </w:rPr>
              <w:t>(RMSE)</w:t>
            </w:r>
          </w:p>
        </w:tc>
        <w:tc>
          <w:tcPr>
            <w:tcW w:type="dxa" w:w="1928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shd w:fill="f2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276" w:after="0"/>
              <w:ind w:left="232" w:right="288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F3A52"/>
                <w:sz w:val="19"/>
              </w:rPr>
              <w:t xml:space="preserve">Mean Absolute </w:t>
            </w:r>
            <w:r>
              <w:rPr>
                <w:rFonts w:ascii="Helvetica" w:hAnsi="Helvetica" w:eastAsia="Helvetica"/>
                <w:b/>
                <w:i w:val="0"/>
                <w:color w:val="1F3A52"/>
                <w:sz w:val="19"/>
              </w:rPr>
              <w:t>Error (MAE)</w:t>
            </w:r>
          </w:p>
        </w:tc>
      </w:tr>
      <w:tr>
        <w:trPr>
          <w:trHeight w:hRule="exact" w:val="1088"/>
        </w:trPr>
        <w:tc>
          <w:tcPr>
            <w:tcW w:type="dxa" w:w="1926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24" w:after="0"/>
              <w:ind w:left="232" w:right="576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333333"/>
                <w:sz w:val="19"/>
              </w:rPr>
              <w:t xml:space="preserve">Linear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333333"/>
                <w:sz w:val="19"/>
              </w:rPr>
              <w:t>Regression</w:t>
            </w:r>
          </w:p>
        </w:tc>
        <w:tc>
          <w:tcPr>
            <w:tcW w:type="dxa" w:w="1930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316" w:after="0"/>
              <w:ind w:left="23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None</w:t>
            </w:r>
          </w:p>
        </w:tc>
        <w:tc>
          <w:tcPr>
            <w:tcW w:type="dxa" w:w="1928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316" w:after="0"/>
              <w:ind w:left="2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0.6521</w:t>
            </w:r>
          </w:p>
        </w:tc>
        <w:tc>
          <w:tcPr>
            <w:tcW w:type="dxa" w:w="1926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316" w:after="0"/>
              <w:ind w:left="2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0.6693</w:t>
            </w:r>
          </w:p>
        </w:tc>
        <w:tc>
          <w:tcPr>
            <w:tcW w:type="dxa" w:w="1928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316" w:after="0"/>
              <w:ind w:left="23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0.4805</w:t>
            </w:r>
          </w:p>
        </w:tc>
      </w:tr>
      <w:tr>
        <w:trPr>
          <w:trHeight w:hRule="exact" w:val="2000"/>
        </w:trPr>
        <w:tc>
          <w:tcPr>
            <w:tcW w:type="dxa" w:w="1926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77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333333"/>
                <w:sz w:val="19"/>
              </w:rPr>
              <w:t>Random Forest</w:t>
            </w:r>
          </w:p>
        </w:tc>
        <w:tc>
          <w:tcPr>
            <w:tcW w:type="dxa" w:w="1930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24" w:after="0"/>
              <w:ind w:left="234" w:right="0" w:firstLine="0"/>
              <w:jc w:val="left"/>
            </w:pPr>
            <w:r>
              <w:rPr>
                <w:shd w:val="clear" w:color="auto" w:fill="f4f4f4"/>
                <w:rFonts w:ascii="Courier" w:hAnsi="Courier" w:eastAsia="Courier"/>
                <w:b w:val="0"/>
                <w:i w:val="0"/>
                <w:color w:val="333333"/>
                <w:sz w:val="19"/>
              </w:rPr>
              <w:t>n_estimators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: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200, </w:t>
            </w:r>
            <w:r>
              <w:br/>
            </w:r>
            <w:r>
              <w:rPr>
                <w:shd w:val="clear" w:color="auto" w:fill="f4f4f4"/>
                <w:rFonts w:ascii="Courier" w:hAnsi="Courier" w:eastAsia="Courier"/>
                <w:b w:val="0"/>
                <w:i w:val="0"/>
                <w:color w:val="333333"/>
                <w:sz w:val="19"/>
              </w:rPr>
              <w:t>max_depth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: 12, </w:t>
            </w:r>
            <w:r>
              <w:br/>
            </w:r>
            <w:r>
              <w:rPr>
                <w:shd w:val="clear" w:color="auto" w:fill="f4f4f4"/>
                <w:rFonts w:ascii="Courier" w:hAnsi="Courier" w:eastAsia="Courier"/>
                <w:b w:val="0"/>
                <w:i w:val="0"/>
                <w:color w:val="333333"/>
                <w:sz w:val="19"/>
              </w:rPr>
              <w:t>min_samples_leaf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: 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2</w:t>
            </w:r>
          </w:p>
        </w:tc>
        <w:tc>
          <w:tcPr>
            <w:tcW w:type="dxa" w:w="1928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30" w:val="left"/>
              </w:tabs>
              <w:autoSpaceDE w:val="0"/>
              <w:widowControl/>
              <w:spacing w:line="306" w:lineRule="exact" w:before="728" w:after="0"/>
              <w:ind w:left="14" w:right="100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0.7854 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333333"/>
                <w:sz w:val="19"/>
              </w:rPr>
              <w:t>f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:</w:t>
            </w:r>
          </w:p>
        </w:tc>
        <w:tc>
          <w:tcPr>
            <w:tcW w:type="dxa" w:w="1926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772" w:after="0"/>
              <w:ind w:left="2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0.5257</w:t>
            </w:r>
          </w:p>
        </w:tc>
        <w:tc>
          <w:tcPr>
            <w:tcW w:type="dxa" w:w="1928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772" w:after="0"/>
              <w:ind w:left="23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0.3522</w:t>
            </w:r>
          </w:p>
        </w:tc>
      </w:tr>
      <w:tr>
        <w:trPr>
          <w:trHeight w:hRule="exact" w:val="1980"/>
        </w:trPr>
        <w:tc>
          <w:tcPr>
            <w:tcW w:type="dxa" w:w="1926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774" w:after="0"/>
              <w:ind w:left="23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333333"/>
                <w:sz w:val="19"/>
              </w:rPr>
              <w:t>XGBoost</w:t>
            </w:r>
          </w:p>
        </w:tc>
        <w:tc>
          <w:tcPr>
            <w:tcW w:type="dxa" w:w="1930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24" w:after="0"/>
              <w:ind w:left="234" w:right="144" w:firstLine="0"/>
              <w:jc w:val="left"/>
            </w:pPr>
            <w:r>
              <w:rPr>
                <w:shd w:val="clear" w:color="auto" w:fill="f4f4f4"/>
                <w:rFonts w:ascii="Courier" w:hAnsi="Courier" w:eastAsia="Courier"/>
                <w:b w:val="0"/>
                <w:i w:val="0"/>
                <w:color w:val="333333"/>
                <w:sz w:val="19"/>
              </w:rPr>
              <w:t>n_estimators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: 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200, </w:t>
            </w:r>
            <w:r>
              <w:br/>
            </w:r>
            <w:r>
              <w:rPr>
                <w:shd w:val="clear" w:color="auto" w:fill="f4f4f4"/>
                <w:rFonts w:ascii="Courier" w:hAnsi="Courier" w:eastAsia="Courier"/>
                <w:b w:val="0"/>
                <w:i w:val="0"/>
                <w:color w:val="333333"/>
                <w:sz w:val="19"/>
              </w:rPr>
              <w:t>max_depth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: 6, </w:t>
            </w:r>
            <w:r>
              <w:br/>
            </w:r>
            <w:r>
              <w:rPr>
                <w:shd w:val="clear" w:color="auto" w:fill="f4f4f4"/>
                <w:rFonts w:ascii="Courier" w:hAnsi="Courier" w:eastAsia="Courier"/>
                <w:b w:val="0"/>
                <w:i w:val="0"/>
                <w:color w:val="333333"/>
                <w:sz w:val="19"/>
              </w:rPr>
              <w:t>learning_rate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: 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0.1</w:t>
            </w:r>
          </w:p>
        </w:tc>
        <w:tc>
          <w:tcPr>
            <w:tcW w:type="dxa" w:w="1928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774" w:after="0"/>
              <w:ind w:left="23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333333"/>
                <w:sz w:val="19"/>
              </w:rPr>
              <w:t>0.8256</w:t>
            </w:r>
          </w:p>
        </w:tc>
        <w:tc>
          <w:tcPr>
            <w:tcW w:type="dxa" w:w="1926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774" w:after="0"/>
              <w:ind w:left="23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333333"/>
                <w:sz w:val="19"/>
              </w:rPr>
              <w:t>0.4739</w:t>
            </w:r>
          </w:p>
        </w:tc>
        <w:tc>
          <w:tcPr>
            <w:tcW w:type="dxa" w:w="1928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774" w:after="0"/>
              <w:ind w:left="23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333333"/>
                <w:sz w:val="19"/>
              </w:rPr>
              <w:t>0.3124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680" w:right="1104" w:bottom="1080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6"/>
        <w:ind w:left="0" w:right="0"/>
      </w:pPr>
    </w:p>
    <w:p>
      <w:pPr>
        <w:autoSpaceDN w:val="0"/>
        <w:autoSpaceDE w:val="0"/>
        <w:widowControl/>
        <w:spacing w:line="332" w:lineRule="exact" w:before="0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2. Web Application Setup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70" w:after="0"/>
        <w:ind w:left="330" w:right="72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/>
          <w:i w:val="0"/>
          <w:color w:val="333333"/>
          <w:sz w:val="22"/>
        </w:rPr>
        <w:t>Backend (</w:t>
      </w:r>
      <w:r>
        <w:rPr>
          <w:shd w:val="clear" w:color="auto" w:fill="f4f4f4"/>
          <w:rFonts w:ascii="Courier" w:hAnsi="Courier" w:eastAsia="Courier"/>
          <w:b/>
          <w:i w:val="0"/>
          <w:color w:val="333333"/>
          <w:sz w:val="19"/>
        </w:rPr>
        <w:t>app.py</w:t>
      </w:r>
      <w:r>
        <w:rPr>
          <w:rFonts w:ascii="Helvetica" w:hAnsi="Helvetica" w:eastAsia="Helvetica"/>
          <w:b/>
          <w:i w:val="0"/>
          <w:color w:val="333333"/>
          <w:sz w:val="22"/>
        </w:rPr>
        <w:t>):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Utilizes Flask. Loads serialized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preprocessor.joblib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, </w:t>
      </w:r>
      <w:r>
        <w:br/>
      </w:r>
      <w:r>
        <w:tab/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linear_regression_model.joblib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,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xgboost_model.joblib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, and </w:t>
      </w:r>
      <w:r>
        <w:br/>
      </w:r>
      <w:r>
        <w:tab/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random_forest_model.joblib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on startup. Serves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/predict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endpoint returning JSON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predictions.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50" w:after="0"/>
        <w:ind w:left="330" w:right="288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/>
          <w:i w:val="0"/>
          <w:color w:val="333333"/>
          <w:sz w:val="22"/>
        </w:rPr>
        <w:t>Frontend (</w:t>
      </w:r>
      <w:r>
        <w:rPr>
          <w:shd w:val="clear" w:color="auto" w:fill="f4f4f4"/>
          <w:rFonts w:ascii="Courier" w:hAnsi="Courier" w:eastAsia="Courier"/>
          <w:b/>
          <w:i w:val="0"/>
          <w:color w:val="333333"/>
          <w:sz w:val="19"/>
        </w:rPr>
        <w:t>templates/index.html</w:t>
      </w:r>
      <w:r>
        <w:rPr>
          <w:rFonts w:ascii="Helvetica" w:hAnsi="Helvetica" w:eastAsia="Helvetica"/>
          <w:b/>
          <w:i w:val="0"/>
          <w:color w:val="333333"/>
          <w:sz w:val="22"/>
        </w:rPr>
        <w:t>):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Glassmorphic web panel with Outfit typography and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dynamic dark mode sliders for all 10 features: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50" w:after="0"/>
        <w:ind w:left="330" w:right="432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/>
          <w:color w:val="333333"/>
          <w:sz w:val="22"/>
        </w:rPr>
        <w:t>Direct sliders: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IncomeLevel, PropertyAge, TotalRooms, TotalBedrooms, AvgOccupancy,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RoomsPerHousehold, BedroomsRatio.</w:t>
      </w:r>
    </w:p>
    <w:p>
      <w:pPr>
        <w:autoSpaceDN w:val="0"/>
        <w:tabs>
          <w:tab w:pos="660" w:val="left"/>
        </w:tabs>
        <w:autoSpaceDE w:val="0"/>
        <w:widowControl/>
        <w:spacing w:line="304" w:lineRule="exact" w:before="198" w:after="0"/>
        <w:ind w:left="33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/>
          <w:color w:val="333333"/>
          <w:sz w:val="22"/>
        </w:rPr>
        <w:t>Direct inputs: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NeighborhoodPop, Latitude, Longitude.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50" w:after="0"/>
        <w:ind w:left="330" w:right="288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Live updates are sent asynchronously to the backend on slider adjust, updating predicted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prices dynamically with a neon green layout.</w:t>
      </w:r>
    </w:p>
    <w:p>
      <w:pPr>
        <w:autoSpaceDN w:val="0"/>
        <w:autoSpaceDE w:val="0"/>
        <w:widowControl/>
        <w:spacing w:line="412" w:lineRule="exact" w:before="1436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30"/>
        </w:rPr>
        <w:t>Section F: Critical Evaluation &amp; Limitations (10 Marks)</w:t>
      </w:r>
    </w:p>
    <w:p>
      <w:pPr>
        <w:autoSpaceDN w:val="0"/>
        <w:autoSpaceDE w:val="0"/>
        <w:widowControl/>
        <w:spacing w:line="332" w:lineRule="exact" w:before="528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1. Domain Suitability of the Model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70" w:after="0"/>
        <w:ind w:left="330" w:right="288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The Random Forest Regressor is highly suited for real estate valuation. It is robust to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outliers (which are common in real estate due to luxury housing spikes) and captures the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complex interactions between geographic coordinates and average occupancy.</w:t>
      </w:r>
    </w:p>
    <w:p>
      <w:pPr>
        <w:autoSpaceDN w:val="0"/>
        <w:autoSpaceDE w:val="0"/>
        <w:widowControl/>
        <w:spacing w:line="332" w:lineRule="exact" w:before="816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2. Suitability of Deep Learning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70" w:after="0"/>
        <w:ind w:left="330" w:right="72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While Deep Learning (e.g. MLPs) can approximate the spatial price function, it is less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suitable here due to: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50" w:after="0"/>
        <w:ind w:left="330" w:right="288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/>
          <w:color w:val="333333"/>
          <w:sz w:val="22"/>
        </w:rPr>
        <w:t>Data scale: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Tabular dataset size (15k rows) is too small to train large network parameters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without massive overfitting.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50" w:after="0"/>
        <w:ind w:left="33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/>
          <w:color w:val="333333"/>
          <w:sz w:val="22"/>
        </w:rPr>
        <w:t>Interpretability: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Real estate appraisers require structural rules (e.g., how the bedrooms ratio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impacts price) which are inspectable in tree splits but completely hidden in deep neural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weights.</w:t>
      </w:r>
    </w:p>
    <w:p>
      <w:pPr>
        <w:sectPr>
          <w:pgSz w:w="11906" w:h="16838"/>
          <w:pgMar w:top="676" w:right="1104" w:bottom="1248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6"/>
        <w:ind w:left="0" w:right="0"/>
      </w:pPr>
    </w:p>
    <w:p>
      <w:pPr>
        <w:autoSpaceDN w:val="0"/>
        <w:autoSpaceDE w:val="0"/>
        <w:widowControl/>
        <w:spacing w:line="332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3. Limitations of the Current Approach</w:t>
      </w:r>
    </w:p>
    <w:p>
      <w:pPr>
        <w:autoSpaceDN w:val="0"/>
        <w:tabs>
          <w:tab w:pos="630" w:val="left"/>
        </w:tabs>
        <w:autoSpaceDE w:val="0"/>
        <w:widowControl/>
        <w:spacing w:line="352" w:lineRule="exact" w:before="170" w:after="0"/>
        <w:ind w:left="300" w:right="144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/>
          <w:i w:val="0"/>
          <w:color w:val="333333"/>
          <w:sz w:val="22"/>
        </w:rPr>
        <w:t>Temporal Shift: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The model does not include time metrics. Inflation, interest rates, and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seasonal spikes are completely ignored.</w:t>
      </w:r>
    </w:p>
    <w:p>
      <w:pPr>
        <w:autoSpaceDN w:val="0"/>
        <w:tabs>
          <w:tab w:pos="630" w:val="left"/>
        </w:tabs>
        <w:autoSpaceDE w:val="0"/>
        <w:widowControl/>
        <w:spacing w:line="352" w:lineRule="exact" w:before="150" w:after="0"/>
        <w:ind w:left="300" w:right="432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/>
          <w:i w:val="0"/>
          <w:color w:val="333333"/>
          <w:sz w:val="22"/>
        </w:rPr>
        <w:t>Geographical Constraints: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The model is bound to the coordinate boundaries of the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training dataset. It cannot predict prices for properties outside these geographical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boundaries.</w:t>
      </w:r>
    </w:p>
    <w:p>
      <w:pPr>
        <w:autoSpaceDN w:val="0"/>
        <w:autoSpaceDE w:val="0"/>
        <w:widowControl/>
        <w:spacing w:line="332" w:lineRule="exact" w:before="81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4. Future Suggestions</w:t>
      </w:r>
    </w:p>
    <w:p>
      <w:pPr>
        <w:autoSpaceDN w:val="0"/>
        <w:tabs>
          <w:tab w:pos="630" w:val="left"/>
        </w:tabs>
        <w:autoSpaceDE w:val="0"/>
        <w:widowControl/>
        <w:spacing w:line="352" w:lineRule="exact" w:before="170" w:after="0"/>
        <w:ind w:left="30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We successfully implemented XGBoost and improved the $R^2$ score to </w:t>
      </w:r>
      <w:r>
        <w:rPr>
          <w:rFonts w:ascii="Helvetica" w:hAnsi="Helvetica" w:eastAsia="Helvetica"/>
          <w:b/>
          <w:i w:val="0"/>
          <w:color w:val="333333"/>
          <w:sz w:val="22"/>
        </w:rPr>
        <w:t>0.8256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. Future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work could incorporate LightGBM to speed up training.</w:t>
      </w:r>
    </w:p>
    <w:p>
      <w:pPr>
        <w:autoSpaceDN w:val="0"/>
        <w:tabs>
          <w:tab w:pos="630" w:val="left"/>
        </w:tabs>
        <w:autoSpaceDE w:val="0"/>
        <w:widowControl/>
        <w:spacing w:line="352" w:lineRule="exact" w:before="150" w:after="0"/>
        <w:ind w:left="300" w:right="72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Incorporate SHAP (Shapley Additive exPlanations) values to provide local feature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contribution visualization in the web application UI.</w:t>
      </w:r>
    </w:p>
    <w:sectPr w:rsidR="00FC693F" w:rsidRPr="0006063C" w:rsidSect="00034616">
      <w:pgSz w:w="11906" w:h="16838"/>
      <w:pgMar w:top="676" w:right="1440" w:bottom="1440" w:left="115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