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428"/>
        <w:ind w:left="0" w:right="0"/>
      </w:pPr>
    </w:p>
    <w:p>
      <w:pPr>
        <w:autoSpaceDN w:val="0"/>
        <w:autoSpaceDE w:val="0"/>
        <w:widowControl/>
        <w:spacing w:line="552" w:lineRule="exact" w:before="0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40"/>
        </w:rPr>
        <w:t>COMPREHENSIVE ASSESSMENT REPORT</w:t>
      </w:r>
    </w:p>
    <w:p>
      <w:pPr>
        <w:autoSpaceDN w:val="0"/>
        <w:autoSpaceDE w:val="0"/>
        <w:widowControl/>
        <w:spacing w:line="552" w:lineRule="exact" w:before="88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40"/>
        </w:rPr>
        <w:t>(DRAFT)</w:t>
      </w:r>
    </w:p>
    <w:p>
      <w:pPr>
        <w:autoSpaceDN w:val="0"/>
        <w:autoSpaceDE w:val="0"/>
        <w:widowControl/>
        <w:spacing w:line="352" w:lineRule="exact" w:before="448" w:after="0"/>
        <w:ind w:left="36" w:right="1296" w:firstLine="0"/>
        <w:jc w:val="left"/>
      </w:pPr>
      <w:r>
        <w:rPr>
          <w:rFonts w:ascii="Helvetica" w:hAnsi="Helvetica" w:eastAsia="Helvetica"/>
          <w:b/>
          <w:i w:val="0"/>
          <w:color w:val="333333"/>
          <w:sz w:val="22"/>
        </w:rPr>
        <w:t>Module: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Computational Intelligence (CIS 6005)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Assessment: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WRIT1 - Deep Learning Plus AI Mini Project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Target Dataset: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Real Estate House Price Prediction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estate_train.csv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Trained Models: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Linear Regression, XGBoost Regressor, Random Forest Regressor </w:t>
      </w:r>
      <w:r>
        <w:rPr>
          <w:rFonts w:ascii="Helvetica" w:hAnsi="Helvetica" w:eastAsia="Helvetica"/>
          <w:b/>
          <w:i w:val="0"/>
          <w:color w:val="333333"/>
          <w:sz w:val="22"/>
        </w:rPr>
        <w:t>Artifact Link: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 xml:space="preserve">submission.csv </w:t>
      </w:r>
      <w:r>
        <w:br/>
      </w:r>
      <w:r>
        <w:rPr>
          <w:rFonts w:ascii="Helvetica" w:hAnsi="Helvetica" w:eastAsia="Helvetica"/>
          <w:b/>
          <w:i w:val="0"/>
          <w:color w:val="333333"/>
          <w:sz w:val="22"/>
        </w:rPr>
        <w:t>Application Code: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app.py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| </w:t>
      </w:r>
      <w:r>
        <w:rPr>
          <w:rFonts w:ascii="Helvetica" w:hAnsi="Helvetica" w:eastAsia="Helvetica"/>
          <w:b w:val="0"/>
          <w:i w:val="0"/>
          <w:color w:val="0000FF"/>
          <w:sz w:val="22"/>
          <w:u w:val="single"/>
        </w:rPr>
        <w:t>templates/index.html</w:t>
      </w:r>
    </w:p>
    <w:p>
      <w:pPr>
        <w:autoSpaceDN w:val="0"/>
        <w:autoSpaceDE w:val="0"/>
        <w:widowControl/>
        <w:spacing w:line="480" w:lineRule="exact" w:before="994" w:after="0"/>
        <w:ind w:left="36" w:right="864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A: Computational Intelligence vs Traditional Artificial </w:t>
      </w:r>
      <w:r>
        <w:rPr>
          <w:rFonts w:ascii="Helvetica" w:hAnsi="Helvetica" w:eastAsia="Helvetica"/>
          <w:b/>
          <w:i w:val="0"/>
          <w:color w:val="1F3A52"/>
          <w:sz w:val="30"/>
        </w:rPr>
        <w:t>Intelligence (10 Marks)</w:t>
      </w:r>
    </w:p>
    <w:p>
      <w:pPr>
        <w:autoSpaceDN w:val="0"/>
        <w:autoSpaceDE w:val="0"/>
        <w:widowControl/>
        <w:spacing w:line="330" w:lineRule="exact" w:before="528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Introduction to Artificial Intelligence Paradigms</w:t>
      </w:r>
    </w:p>
    <w:p>
      <w:pPr>
        <w:autoSpaceDN w:val="0"/>
        <w:autoSpaceDE w:val="0"/>
        <w:widowControl/>
        <w:spacing w:line="352" w:lineRule="exact" w:before="270" w:after="0"/>
        <w:ind w:left="36" w:right="74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Artificial Intelligence (AI) as a scientific discipline seeks to create computational systems that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exhibit cognitive behaviors analogous to human intelligence (Russell and Norvig 2020).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Historically, the pursuit of AI has bifurcated into two primary paradigms: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Traditional Artificial </w:t>
      </w:r>
      <w:r>
        <w:rPr>
          <w:rFonts w:ascii="Helvetica" w:hAnsi="Helvetica" w:eastAsia="Helvetica"/>
          <w:b/>
          <w:i w:val="0"/>
          <w:color w:val="333333"/>
          <w:sz w:val="22"/>
        </w:rPr>
        <w:t>Intelligence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(also known as Symbolic AI, Hard AI, or Good Old-Fashioned AI - GOFAI) and </w:t>
      </w:r>
      <w:r>
        <w:rPr>
          <w:rFonts w:ascii="Helvetica" w:hAnsi="Helvetica" w:eastAsia="Helvetica"/>
          <w:b/>
          <w:i w:val="0"/>
          <w:color w:val="333333"/>
          <w:sz w:val="22"/>
        </w:rPr>
        <w:t>Computational Intelligence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(CI, often associated with Soft Computing or Connectionist AI). While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 AI focuses on high-level cognitive functions through symbolic manipulation,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 Intelligence approaches problem-solving from a low-level, biologically-inspired,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data-driven perspective (Engelbrecht 2007).</w:t>
      </w:r>
    </w:p>
    <w:p>
      <w:pPr>
        <w:autoSpaceDN w:val="0"/>
        <w:autoSpaceDE w:val="0"/>
        <w:widowControl/>
        <w:spacing w:line="330" w:lineRule="exact" w:before="984" w:after="0"/>
        <w:ind w:left="36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Traditional Artificial Intelligence (Symbolic &amp; Expert Systems)</w:t>
      </w:r>
    </w:p>
    <w:p>
      <w:pPr>
        <w:autoSpaceDN w:val="0"/>
        <w:autoSpaceDE w:val="0"/>
        <w:widowControl/>
        <w:spacing w:line="352" w:lineRule="exact" w:before="270" w:after="0"/>
        <w:ind w:left="36" w:right="74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 AI is characterized by a "top-down" conceptual framework. It operates on the physical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symbol system hypothesis, which posits that symbolic processing is necessary and sufficient for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general intelligent action (Newell and Simon 1976).</w:t>
      </w:r>
    </w:p>
    <w:p>
      <w:pPr>
        <w:autoSpaceDN w:val="0"/>
        <w:tabs>
          <w:tab w:pos="666" w:val="left"/>
        </w:tabs>
        <w:autoSpaceDE w:val="0"/>
        <w:widowControl/>
        <w:spacing w:line="352" w:lineRule="exact" w:before="304" w:after="0"/>
        <w:ind w:left="336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Core Tenets and Mechanisms: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Traditional AI models human reasoning by explicitly coding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rules and knowledge. The core mechanism involves a </w:t>
      </w:r>
      <w:r>
        <w:rPr>
          <w:rFonts w:ascii="Helvetica" w:hAnsi="Helvetica" w:eastAsia="Helvetica"/>
          <w:b/>
          <w:i w:val="0"/>
          <w:color w:val="333333"/>
          <w:sz w:val="22"/>
        </w:rPr>
        <w:t>Knowledge Base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(a repository of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facts and rule-based logic, typically represented as IF-THEN structures) and an </w:t>
      </w:r>
      <w:r>
        <w:rPr>
          <w:rFonts w:ascii="Helvetica" w:hAnsi="Helvetica" w:eastAsia="Helvetica"/>
          <w:b/>
          <w:i w:val="0"/>
          <w:color w:val="333333"/>
          <w:sz w:val="22"/>
        </w:rPr>
        <w:t>Inference</w:t>
      </w:r>
    </w:p>
    <w:p>
      <w:pPr>
        <w:sectPr>
          <w:pgSz w:w="11906" w:h="16838"/>
          <w:pgMar w:top="648" w:right="1080" w:bottom="944" w:left="111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660" w:right="864" w:firstLine="0"/>
        <w:jc w:val="left"/>
      </w:pPr>
      <w:r>
        <w:rPr>
          <w:rFonts w:ascii="Helvetica" w:hAnsi="Helvetica" w:eastAsia="Helvetica"/>
          <w:b/>
          <w:i w:val="0"/>
          <w:color w:val="333333"/>
          <w:sz w:val="22"/>
        </w:rPr>
        <w:t xml:space="preserve">Engine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(which applies logical rules using deductive reasoning mechanisms such as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forward-chaining or backward-chaining).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Strengths: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Because reasoning is representational and rule-based, symbolic systems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highly deterministic and explainable. The logic path leading to a specific decision can be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fully traced and audited, making it highly effective in closed, deterministic, and highly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structured environments (e.g., mathematical theorem proving, tax calculators, and chess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engines).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Critical Limitations: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Symbolic systems exhibit extreme brittleness (McCarthy 1990). They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require absolute certainty and structured inputs; they lack the capacity to process noisy,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ambiguous, or incomplete real-world data. Furthermore, they suffer from the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"Knowledge 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Acquisition Bottleneck"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—the practical impossibility of manually coding every potential rule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in complex, dynamically changing environments.</w:t>
      </w:r>
    </w:p>
    <w:p>
      <w:pPr>
        <w:autoSpaceDN w:val="0"/>
        <w:autoSpaceDE w:val="0"/>
        <w:widowControl/>
        <w:spacing w:line="332" w:lineRule="exact" w:before="135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Computational Intelligence (CI)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 contrast, Computational Intelligence (CI) utilizes a "bottom-up" approach, focusing on adaptive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mechanisms that learn from raw data or interactive environments. Bezdek (1994) famously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distinguished CI from traditional AI by stating that a system is computationally intelligent when it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begins to process low-level numeric pattern data, incorporates learning and adaptation,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avoids rigid symbolic representation.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primary pillars of Computational Intelligence include: 1.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Artificial Neural Networks (ANNs):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Connectionist models inspired by biological nervous systems. They consist of layers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interconnected nodes (neurons) that adjust their synaptic weights via training algorithms (e.g.,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backpropagation) to approximate complex, highly non-linear functions (Rumelhart, Hinton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Williams 1986). 2. </w:t>
      </w:r>
      <w:r>
        <w:rPr>
          <w:rFonts w:ascii="Helvetica" w:hAnsi="Helvetica" w:eastAsia="Helvetica"/>
          <w:b/>
          <w:i w:val="0"/>
          <w:color w:val="333333"/>
          <w:sz w:val="22"/>
        </w:rPr>
        <w:t>Evolutionary Computation (EC):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Optimization and search paradigms inspired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by biological evolution and genetics (e.g., Genetic Algorithms). They generate optimal solutions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through iterative generation, selection, crossover, and mutation (Holland 1992). 3.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Fuzzy Logic </w:t>
      </w:r>
      <w:r>
        <w:rPr>
          <w:rFonts w:ascii="Helvetica" w:hAnsi="Helvetica" w:eastAsia="Helvetica"/>
          <w:b/>
          <w:i w:val="0"/>
          <w:color w:val="333333"/>
          <w:sz w:val="22"/>
        </w:rPr>
        <w:t>Systems (FLS):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mathematical framework designed to process "approximate" rather than "exact"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reasoning. Unlike binary Boolean logic, fuzzy logic maps membership inputs to continuous truth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values between 0 and 1, simulating human decision-making under uncertainty (Zadeh 1965).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Comparative Evaluation: Traditional AI vs. Computational Intelligence</w:t>
      </w:r>
    </w:p>
    <w:p>
      <w:pPr>
        <w:sectPr>
          <w:pgSz w:w="11906" w:h="16838"/>
          <w:pgMar w:top="680" w:right="1104" w:bottom="107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28" w:lineRule="exact" w:before="0" w:after="424"/>
        <w:ind w:left="28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fundamental differences between the two paradigms can be evaluated across several critical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operational dimensions: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.000000000000114" w:type="dxa"/>
      </w:tblPr>
      <w:tblGrid>
        <w:gridCol w:w="3235"/>
        <w:gridCol w:w="3235"/>
        <w:gridCol w:w="3235"/>
      </w:tblGrid>
      <w:tr>
        <w:trPr>
          <w:trHeight w:hRule="exact" w:val="1088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8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Dimension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576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Traditional Artificial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Intelligence (Symbolic AI)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Computational Intelligence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(Soft Computing)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Logic &amp; Precision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Binary Boolean logic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(True/False; 0 or 1). Demands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high precision.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164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Multi-valued fuzzy logic.</w:t>
            </w:r>
          </w:p>
          <w:p>
            <w:pPr>
              <w:autoSpaceDN w:val="0"/>
              <w:autoSpaceDE w:val="0"/>
              <w:widowControl/>
              <w:spacing w:line="304" w:lineRule="exact" w:before="0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Tolerates imprecision, noise,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and approximation.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Reasoning Flow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126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Top-Down: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Deductive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reasoning from general rules to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specific cases (Deduction).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126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Bottom-Up: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Inductive learning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from specific data points to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general patterns (Induction).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Knowledge Origin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Manually engineered and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hard-coded by human domain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experts.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Learned dynamically and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autonomously from empirical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data.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Adaptability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Static. System rules must be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manually recoded to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accommodate changes.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Dynamic. Adapts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self-correctively through weight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adjustments or evolution.</w:t>
            </w:r>
          </w:p>
        </w:tc>
      </w:tr>
      <w:tr>
        <w:trPr>
          <w:trHeight w:hRule="exact" w:val="1392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Explainability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2" w:lineRule="exact" w:before="278" w:after="0"/>
              <w:ind w:left="232" w:right="432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White-Box: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Decisions are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highly transparent and logical.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Black-Box: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 High mathematical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complexity makes feature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interactions difficult to audit.</w:t>
            </w:r>
          </w:p>
        </w:tc>
      </w:tr>
      <w:tr>
        <w:trPr>
          <w:trHeight w:hRule="exact" w:val="1696"/>
        </w:trPr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622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Real-world Suitability</w:t>
            </w:r>
          </w:p>
        </w:tc>
        <w:tc>
          <w:tcPr>
            <w:tcW w:type="dxa" w:w="3212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4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Structured, rule-bound systems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(e.g., database management,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syntax parsing).</w:t>
            </w:r>
          </w:p>
        </w:tc>
        <w:tc>
          <w:tcPr>
            <w:tcW w:type="dxa" w:w="3214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2" w:after="0"/>
              <w:ind w:left="234" w:right="432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Uncertain, non-linear, spatial,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and noisy tasks (e.g., house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price forecasting, image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recognition).</w:t>
            </w:r>
          </w:p>
        </w:tc>
      </w:tr>
    </w:tbl>
    <w:p>
      <w:pPr>
        <w:autoSpaceDN w:val="0"/>
        <w:autoSpaceDE w:val="0"/>
        <w:widowControl/>
        <w:spacing w:line="304" w:lineRule="exact" w:before="264" w:after="0"/>
        <w:ind w:left="28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Suitability for Housing Price Forecasting</w:t>
      </w:r>
    </w:p>
    <w:p>
      <w:pPr>
        <w:autoSpaceDN w:val="0"/>
        <w:autoSpaceDE w:val="0"/>
        <w:widowControl/>
        <w:spacing w:line="352" w:lineRule="exact" w:before="258" w:after="0"/>
        <w:ind w:left="28" w:right="2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For the task of real estate valuation, traditional symbolic systems are highly deficient. Real estate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prices are governed by highly non-linear correlations, geographical coordinate interactions,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macro-economic volatility that cannot be expressed as manual IF-THEN rules. By utilizing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 Intelligence approach (such as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or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ensembles),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system can autonomously ingest spatial datasets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estate_train.csv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), model the complex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non-linear interaction of attributes (like mapping Latitude/Longitude coordinates onto prices), and</w:t>
      </w:r>
    </w:p>
    <w:p>
      <w:pPr>
        <w:sectPr>
          <w:pgSz w:w="11906" w:h="16838"/>
          <w:pgMar w:top="680" w:right="1074" w:bottom="850" w:left="112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04" w:lineRule="exact" w:before="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generalize effectively to predict prices on unseen test cases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estate_test.csv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).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5. References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Bezdek, J.C., 1994. What is computational intelligence?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Computational Intelligence: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Imitating Life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pp.1-12.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Engelbrecht, A.P., 2007. </w:t>
      </w:r>
      <w:r>
        <w:rPr>
          <w:rFonts w:ascii="Helvetica" w:hAnsi="Helvetica" w:eastAsia="Helvetica"/>
          <w:b w:val="0"/>
          <w:i/>
          <w:color w:val="333333"/>
          <w:sz w:val="22"/>
        </w:rPr>
        <w:t>Computational intelligence: an introduction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 John Wiley &amp; Sons.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Holland, J.H., 1992. </w:t>
      </w:r>
      <w:r>
        <w:rPr>
          <w:rFonts w:ascii="Helvetica" w:hAnsi="Helvetica" w:eastAsia="Helvetica"/>
          <w:b w:val="0"/>
          <w:i/>
          <w:color w:val="333333"/>
          <w:sz w:val="22"/>
        </w:rPr>
        <w:t>Adaptation in natural and artificial systems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 MIT press.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McCarthy, J., 1990. Formalizing common sense.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Formalizing Common Sense: Papers by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John McCarthy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pp.93-116.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43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Newell, A. and Simon, H.A., 1976. Computer science as empirical inquiry: Symbols and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search. </w:t>
      </w:r>
      <w:r>
        <w:rPr>
          <w:rFonts w:ascii="Helvetica" w:hAnsi="Helvetica" w:eastAsia="Helvetica"/>
          <w:b w:val="0"/>
          <w:i/>
          <w:color w:val="333333"/>
          <w:sz w:val="22"/>
        </w:rPr>
        <w:t>Communications of the ACM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19(3), pp.113-126.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138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Rumelhart, D.E., Hinton, G.E. and Williams, R.J., 1986. Learning representations by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back-propagating errors. </w:t>
      </w:r>
      <w:r>
        <w:rPr>
          <w:rFonts w:ascii="Helvetica" w:hAnsi="Helvetica" w:eastAsia="Helvetica"/>
          <w:b w:val="0"/>
          <w:i/>
          <w:color w:val="333333"/>
          <w:sz w:val="22"/>
        </w:rPr>
        <w:t>Nature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323(6088), pp.533-536.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839"/>
        <w:gridCol w:w="4839"/>
      </w:tblGrid>
      <w:tr>
        <w:trPr>
          <w:trHeight w:hRule="exact" w:val="1848"/>
        </w:trPr>
        <w:tc>
          <w:tcPr>
            <w:tcW w:type="dxa" w:w="516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288" w:right="110" w:firstLine="0"/>
              <w:jc w:val="righ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•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•</w:t>
            </w:r>
          </w:p>
        </w:tc>
        <w:tc>
          <w:tcPr>
            <w:tcW w:type="dxa" w:w="9142"/>
            <w:tcBorders>
              <w:bottom w:sz="8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4" w:lineRule="exact" w:before="0" w:after="0"/>
              <w:ind w:left="14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Russell, S. and Norvig, P., 2020. </w:t>
            </w:r>
            <w:r>
              <w:rPr>
                <w:rFonts w:ascii="Helvetica" w:hAnsi="Helvetica" w:eastAsia="Helvetica"/>
                <w:b w:val="0"/>
                <w:i/>
                <w:color w:val="333333"/>
                <w:sz w:val="22"/>
              </w:rPr>
              <w:t>Artificial intelligence: a modern approach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. 4th ed. Pearson.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 xml:space="preserve">Zadeh, L.A., 1965. Fuzzy sets. </w:t>
            </w:r>
            <w:r>
              <w:rPr>
                <w:rFonts w:ascii="Helvetica" w:hAnsi="Helvetica" w:eastAsia="Helvetica"/>
                <w:b w:val="0"/>
                <w:i/>
                <w:color w:val="333333"/>
                <w:sz w:val="22"/>
              </w:rPr>
              <w:t>Information and Control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22"/>
              </w:rPr>
              <w:t>, 8(3), pp.338-353.</w:t>
            </w:r>
          </w:p>
        </w:tc>
      </w:tr>
    </w:tbl>
    <w:p>
      <w:pPr>
        <w:autoSpaceDN w:val="0"/>
        <w:autoSpaceDE w:val="0"/>
        <w:widowControl/>
        <w:spacing w:line="412" w:lineRule="exact" w:before="45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B: Literature Review (20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Introduction to Real Estate Valuation Modeling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Real estate price forecasting constitutes a fundamental problem in computational economics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spatial analysis. The market value of residential properties is determined by a complex,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heterogeneous mixture of physical characteristics (e.g., number of rooms, bedrooms,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structural age), demographic parameters (e.g., neighborhood population and median income),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geographical coordinates (latitude and longitude) representing spatial attributes (Limsombunchao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2004). Historically, real estate mass appraisal has transitioned from rigid, parametric econometric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models to flexible, data-driven Computational Intelligence (CI) algorithms. This literature review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evaluates the historical development, methodological frameworks, strengths, and constraints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three dominant paradigms in valuation modeling: Hedonic Pricing Models (HPM), Tree-Based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Ensemble methods (Random Forest and GBDT/XGBoost), and Deep Learning architectures.</w:t>
      </w:r>
    </w:p>
    <w:p>
      <w:pPr>
        <w:sectPr>
          <w:pgSz w:w="11906" w:h="16838"/>
          <w:pgMar w:top="680" w:right="1104" w:bottom="96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332" w:lineRule="exact" w:before="3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Hedonic Price Modeling (Parametric Econometric Approaches)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theoretical foundation of modern real estate valuation originates from Rosen’s (1974) Hedonic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Pricing Model (HPM). Rosen posited that goods are valued for their utility-bearing characteristics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rather than the good itself. Consequently, the transaction price of a house can be modeled as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function of its individual structural, neighborhood, and environmental attributes:</w:t>
      </w:r>
    </w:p>
    <w:p>
      <w:pPr>
        <w:autoSpaceDN w:val="0"/>
        <w:autoSpaceDE w:val="0"/>
        <w:widowControl/>
        <w:spacing w:line="304" w:lineRule="exact" w:before="352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$$P = f(S, N, E) + \epsilon$$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Where $S$ represents structural features, $N$ represents neighborhood demographics, $E$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represents environmental/geographical indicators, and $\epsilon$ is the random error term.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Traditionally, HPM is estimated using parametric techniques such as Ordinary Least Squares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(OLS) linear regression, Ridge regression, or Lasso regression (Malpezzi 2003). * </w:t>
      </w:r>
      <w:r>
        <w:rPr>
          <w:rFonts w:ascii="Helvetica" w:hAnsi="Helvetica" w:eastAsia="Helvetica"/>
          <w:b/>
          <w:i w:val="0"/>
          <w:color w:val="333333"/>
          <w:sz w:val="22"/>
        </w:rPr>
        <w:t>Strengths: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primary advantage of parametric HPM lies in its statistical transparency and interpretability. OLS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regression outputs explicit coefficients (beta weights) for each characteristic, enabling economists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appraisers to measure the marginal contribution of individual features (e.g., the exact dollar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value increase associated with adding a bedroom) and perform hypothesis testing via t-statistics. * </w:t>
      </w:r>
      <w:r>
        <w:rPr>
          <w:rFonts w:ascii="Helvetica" w:hAnsi="Helvetica" w:eastAsia="Helvetica"/>
          <w:b/>
          <w:i w:val="0"/>
          <w:color w:val="333333"/>
          <w:sz w:val="22"/>
        </w:rPr>
        <w:t>Limitations and Critique: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Despite its widespread historical adoption, parametric HPM is severely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restricted by several theoretical assumptions. OLS assumes that the relationship between property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attributes and price is strictly linear or log-linear, which fails to capture complex non-linear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dynamics such as the accelerated depreciation of very old properties or diminishing returns 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total rooms (Basu and Thibodeau 1998). Furthermore, OLS is highly susceptible to </w:t>
      </w:r>
      <w:r>
        <w:rPr>
          <w:rFonts w:ascii="Helvetica" w:hAnsi="Helvetica" w:eastAsia="Helvetica"/>
          <w:b/>
          <w:i w:val="0"/>
          <w:color w:val="333333"/>
          <w:sz w:val="22"/>
        </w:rPr>
        <w:t>multicollinearity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(e.g., the high correlation between the number of rooms and bedrooms) and </w:t>
      </w:r>
      <w:r>
        <w:rPr>
          <w:rFonts w:ascii="Helvetica" w:hAnsi="Helvetica" w:eastAsia="Helvetica"/>
          <w:b/>
          <w:i w:val="0"/>
          <w:color w:val="333333"/>
          <w:sz w:val="22"/>
        </w:rPr>
        <w:t>spatial autocorrelation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where property values are geographically clustered, violating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assumption of independent and identically distributed (i.i.d.) error terms (Fotheringham, Brunsdon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and Charlton 2002).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Non-Parametric Machine Learning &amp; Tree-Based Ensembles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address the limitations of parametric linearity, researchers have increasingly adopted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non-parametric machine learning models. Unlike HPM, non-parametric algorithms do not assume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predefined mathematical form for the target function, allowing them to learn arbitrary decision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boundaries directly from empirical data.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Random Forest Regressors (Bagging)</w:t>
      </w:r>
    </w:p>
    <w:p>
      <w:pPr>
        <w:sectPr>
          <w:pgSz w:w="11906" w:h="16838"/>
          <w:pgMar w:top="714" w:right="1104" w:bottom="102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48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Introduced by Breiman (2001), the Random Forest (RF) algorithm is an ensemble method that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constructs a multitude of decision trees during training. To output a prediction, RF averages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outputs of individual trees (bootstrap aggregation, or bagging), while injecting randomness by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selecting a random subset of features at each split. * </w:t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 comparative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studies of mass appraisal, Random Forest consistently outperforms linear OLS. Antipov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Pokryshevskaya (2012) demonstrated that RF handles spatial interactions and multicollinearity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natively without requiring complex variable transformations. Furthermore, because it averages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predictions across hundreds of independent trees, RF exhibits high robustness against overfitting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is insensitive to outliers—a common occurrence in housing datasets containing luxury estates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or distressed properties.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Gradient Boosting and XGBoost (Boosting)</w:t>
      </w:r>
    </w:p>
    <w:p>
      <w:pPr>
        <w:autoSpaceDN w:val="0"/>
        <w:autoSpaceDE w:val="0"/>
        <w:widowControl/>
        <w:spacing w:line="352" w:lineRule="exact" w:before="26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While Random Forest grows trees in parallel, Gradient Boosting Decision Trees (GBDT) build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trees sequentially. Each new tree is trained to predict the residuals (errors) of the preceding trees,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using gradient descent optimization to minimize a loss function (Friedman 2001). Chen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Guestrin (2016) optimized this paradigm by introducing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 (Extreme Gradient Boosting)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which incorporates a regularized objective function to control model complexity and prevent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overfitting, alongside parallelized tree construction. * </w:t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GBDT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XGBoost have emerged as the state-of-the-art for tabular regression tasks. Mullainathan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Spiess (2017) highlighted that boosting algorithms excel at mapping complex coordinate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interactions (Latitude and Longitude) to local neighborhood values, representing a significant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improvement over traditional dummy variables for submarkets. The algorithm's built-in handling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missing values and computational efficiency make it highly suitable for production-level API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deployment.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Artificial Neural Networks (Connectionist Systems / Deep Learning)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Artificial Neural Networks (ANNs), particularly Multi-Layer Perceptrons (MLPs), represent another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prominent non-parametric paradigm. Drawing inspiration from biological neural pathways, ANNs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pass input features through multiple hidden layers of interconnected nodes where non-linear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activation functions (e.g., ReLU) are applied (Hornik, Stinchcombe and White 1989).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304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Synthesis of Literature: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 real estate forecasting, ANNs act as universal function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approximators capable of modeling extremely intricate, high-dimensional interactions.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Limsombunchao (2004) compared OLS and ANNs on housing datasets and concluded that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connectionist approach achieves lower Root Mean Squared Error (RMSE) due to its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ability to model complex structural-spatial interactions.</w:t>
      </w:r>
    </w:p>
    <w:p>
      <w:pPr>
        <w:sectPr>
          <w:pgSz w:w="11906" w:h="16838"/>
          <w:pgMar w:top="680" w:right="1104" w:bottom="872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28" w:lineRule="exact" w:before="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Limitations and Critique: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However, deep learning models present significant drawbacks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when applied to tabular datasets of moderate size (e.g., under 50,000 observations).</w:t>
      </w:r>
    </w:p>
    <w:p>
      <w:pPr>
        <w:autoSpaceDN w:val="0"/>
        <w:autoSpaceDE w:val="0"/>
        <w:widowControl/>
        <w:spacing w:line="352" w:lineRule="exact" w:before="0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Grinsztajn, Oyallon and Varoquaux (2022) conducted extensive benchmarks comparing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deep learning architectures to tree ensembles on tabular data, finding that tree-based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models (like XGBoost and Random Forest) consistently outperform ANNs. Neural networks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are highly sensitive to hyperparameter choices, require extensive data normalization, are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computationally expensive to train, and suffer from a complete lack of interpretability (the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"black box" problem), making them less practical for real estate markets where </w:t>
      </w:r>
      <w:r>
        <w:br/>
      </w:r>
      <w:r>
        <w:rPr>
          <w:rFonts w:ascii="Helvetica" w:hAnsi="Helvetica" w:eastAsia="Helvetica"/>
          <w:b w:val="0"/>
          <w:i w:val="0"/>
          <w:color w:val="333333"/>
          <w:sz w:val="22"/>
        </w:rPr>
        <w:t>transparency is legally or socially required.</w:t>
      </w:r>
    </w:p>
    <w:p>
      <w:pPr>
        <w:autoSpaceDN w:val="0"/>
        <w:autoSpaceDE w:val="0"/>
        <w:widowControl/>
        <w:spacing w:line="332" w:lineRule="exact" w:before="135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5. Summary and Synthesis of Model Selection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Based on the literature review, the model selections for this project are justified as follows: 1. </w:t>
      </w:r>
      <w:r>
        <w:rPr>
          <w:rFonts w:ascii="Helvetica" w:hAnsi="Helvetica" w:eastAsia="Helvetica"/>
          <w:b/>
          <w:i w:val="0"/>
          <w:color w:val="333333"/>
          <w:sz w:val="22"/>
        </w:rPr>
        <w:t>Linear Regression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serves as the essential parametric baseline, representing traditional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econometric appraisal (HPM) to highlight the performance gains of non-parametric approaches. 2.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is selected as a robust bagging ensemble to handle structural multicollinearity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outlier variance. 3.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represents the state-of-the-art regularized boosting paradigm,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selected for its superior predictive performance on tabular coordinate and demographic data.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6. References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Antipov, E.A. and Pokryshevskaya, E.B., 2012. Mass appraisal of residential apartments: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 application of Random Forest. </w:t>
      </w:r>
      <w:r>
        <w:rPr>
          <w:rFonts w:ascii="Helvetica" w:hAnsi="Helvetica" w:eastAsia="Helvetica"/>
          <w:b w:val="0"/>
          <w:i/>
          <w:color w:val="333333"/>
          <w:sz w:val="22"/>
        </w:rPr>
        <w:t>International Journal of Housing Markets and Analysis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5(2), pp.126-139.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Basu, S. and Thibodeau, T.G., 1998. Analysis of spatial autocorrelation in house prices.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The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Journal of Real Estate Finance and Economics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17(1), pp.61-85.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Breiman, L., 2001. Random forests. </w:t>
      </w:r>
      <w:r>
        <w:rPr>
          <w:rFonts w:ascii="Helvetica" w:hAnsi="Helvetica" w:eastAsia="Helvetica"/>
          <w:b w:val="0"/>
          <w:i/>
          <w:color w:val="333333"/>
          <w:sz w:val="22"/>
        </w:rPr>
        <w:t>Machine Learning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45(1), pp.5-32.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Chen, T. and Guestrin, C., 2016. Xgboost: A scalable tree boosting system.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Proceedings of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the 22nd ACM SIGKDD International Conference on Knowledge Discovery and Data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Mining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pp.785-794.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Fotheringham, A.S., Brunsdon, C. and Charlton, M., 2002.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Geographically weighted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regression: the analysis of spatially varying relationships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 John Wiley &amp; Sons.</w:t>
      </w:r>
    </w:p>
    <w:p>
      <w:pPr>
        <w:sectPr>
          <w:pgSz w:w="11906" w:h="16838"/>
          <w:pgMar w:top="680" w:right="1104" w:bottom="116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60" w:val="left"/>
        </w:tabs>
        <w:autoSpaceDE w:val="0"/>
        <w:widowControl/>
        <w:spacing w:line="328" w:lineRule="exact" w:before="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Friedman, J.H., 2001. Greedy function approximation: a gradient boosting machine.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Annals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of Statistics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pp.1189-1232.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Grinsztajn, L., Oyallon, E. and Varoquaux, G., 2022. Why do tree-based models still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outperform deep learning on tabular data?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Advances in Neural Information Processing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Systems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35, pp.507-520.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Hornik, K., Stinchcombe, M. and White, H., 1989. Multilayer feedforward networks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universal approximators. </w:t>
      </w:r>
      <w:r>
        <w:rPr>
          <w:rFonts w:ascii="Helvetica" w:hAnsi="Helvetica" w:eastAsia="Helvetica"/>
          <w:b w:val="0"/>
          <w:i/>
          <w:color w:val="333333"/>
          <w:sz w:val="22"/>
        </w:rPr>
        <w:t>Neural Networks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2(5), pp.359-366.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Limsombunchao, V., 2004. House price prediction: hedonic price model vs. artificial neural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network. </w:t>
      </w:r>
      <w:r>
        <w:rPr>
          <w:rFonts w:ascii="Helvetica" w:hAnsi="Helvetica" w:eastAsia="Helvetica"/>
          <w:b w:val="0"/>
          <w:i/>
          <w:color w:val="333333"/>
          <w:sz w:val="22"/>
        </w:rPr>
        <w:t>New Zealand Agricultural and Resource Economics Society Conference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pp.25-26.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Malpezzi, S., 2003. Hedonic pricing models: a selective and applied review. </w:t>
      </w:r>
      <w:r>
        <w:rPr>
          <w:rFonts w:ascii="Helvetica" w:hAnsi="Helvetica" w:eastAsia="Helvetica"/>
          <w:b w:val="0"/>
          <w:i/>
          <w:color w:val="333333"/>
          <w:sz w:val="22"/>
        </w:rPr>
        <w:t xml:space="preserve">Housing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Economics and Public Policy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pp.67-89.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Mullainathan, S. and Spiess, J., 2017. Machine learning: an applied econometric approach. 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Journal of Economic Perspectives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31(2), pp.87-106.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Rosen, S., 1974. Hedonic prices and implicit markets: product differentiation in pure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competition. </w:t>
      </w:r>
      <w:r>
        <w:rPr>
          <w:rFonts w:ascii="Helvetica" w:hAnsi="Helvetica" w:eastAsia="Helvetica"/>
          <w:b w:val="0"/>
          <w:i/>
          <w:color w:val="333333"/>
          <w:sz w:val="22"/>
        </w:rPr>
        <w:t>Journal of Political Economy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, 82(1), pp.34-55.</w:t>
      </w:r>
    </w:p>
    <w:p>
      <w:pPr>
        <w:autoSpaceDN w:val="0"/>
        <w:autoSpaceDE w:val="0"/>
        <w:widowControl/>
        <w:spacing w:line="480" w:lineRule="exact" w:before="1368" w:after="0"/>
        <w:ind w:left="30" w:right="432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C: Exploratory Data Analysis (EDA) and Model Influence </w:t>
      </w:r>
      <w:r>
        <w:rPr>
          <w:rFonts w:ascii="Helvetica" w:hAnsi="Helvetica" w:eastAsia="Helvetica"/>
          <w:b/>
          <w:i w:val="0"/>
          <w:color w:val="1F3A52"/>
          <w:sz w:val="30"/>
        </w:rPr>
        <w:t>(10 Marks)</w:t>
      </w:r>
    </w:p>
    <w:p>
      <w:pPr>
        <w:autoSpaceDN w:val="0"/>
        <w:autoSpaceDE w:val="0"/>
        <w:widowControl/>
        <w:spacing w:line="352" w:lineRule="exact" w:before="346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Exploratory Data Analysis (EDA) was carried out to understand the structure, distribution,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relationships within the dataset for the real estate price prediction task. The analysis aimed to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identify data quality issues, target distribution, feature behavior, and correlations that affect model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performance and algorithmic choices.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training dataset has 16,512 observations and 11 attributes. These include physical structural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attributes, local demographic indicators, and geographic coordinates, along with the continuous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target variable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. An initial check showed missing values in the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feature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(~7.9% of training records) and the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TotalBedrooms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feature (~0.1%). The dataset contains a mix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numerical (float and integer) and engineered categorical variables, supporting the use of robust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scaling, imputation, and encoding pipelines during model development.</w:t>
      </w:r>
    </w:p>
    <w:p>
      <w:pPr>
        <w:sectPr>
          <w:pgSz w:w="11906" w:h="16838"/>
          <w:pgMar w:top="680" w:right="1104" w:bottom="1116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3.1 Target Variable Distribution and Boundary Capping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target variable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shows the transaction price of properties (scaled by a factor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100,000, e.g. a target value of 2.3367 represents a price of $233,671.67). Unlike classification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tasks,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is a continuous numerical variable. Analysis of its distribution showed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right-skewed layout with a sharp spike at the upper boundary (5.0001), representing a hard price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cap of $500,000 imposed during data collection.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Because of this boundary limit and skewness, standard linear regressions are prone to predicting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negative values or out-of-bounds prices. So, we chose to implement a clipping threshold (capping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predictions at 0.0) in our model inference pipeline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app.py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06_model_inference.ipynb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Furthermore, this boundary behavior supported the use of non-parametric tree ensembles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(XGBoost and Random Forest), which construct split boundaries and handle capped limits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skewness natively without requiring mathematical target transformations.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3.2 Numerical Feature Distributions and Outlier Diagnostics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distributions of numerical features were examined using Kernel Density Estimate (KDE) plot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curves to identify skewness and general trends (see Figure 1). To identify specific outlier points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and statistical boundaries, boxplots were compiled for all numerical attributes (see Figure 2).</w:t>
      </w:r>
    </w:p>
    <w:p>
      <w:pPr>
        <w:sectPr>
          <w:pgSz w:w="11906" w:h="16838"/>
          <w:pgMar w:top="676" w:right="1104" w:bottom="144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42494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4249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30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42430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424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720" w:right="1134" w:bottom="860" w:left="115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44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Applicant area income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IncomeLevel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showed a right-skewed distribution, indicating that most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property neighborhoods belong to middle-income classes, while a few represent high-income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districts. As illustrated in the boxplots (Figure 2), average occupancy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AvgOccupancy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and rooms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per household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RoomsPerHousehold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exhibit extreme right-skewed distributions with heavy outlier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tails, including extreme single-value spikes (e.g., maximum occupancy values reaching 1,243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rooms exceeding 50 per household).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Geographical coordinates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Latitude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Longitude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displayed multi-modal spatial distributions,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representing major population and housing clusters (e.g., coastal and metropolitan hubs) with no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outlier points. Because of these spatial and skewed patterns, standard linear scaling would be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heavily distorted by extreme outliers. This influenced the decision to use robust tree-based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ensembles (XGBoost and Random Forest) that are rank-based and invariant to monotonic scale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transformations, making them immune to outlier scaling bias.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3.3 Categorical and Engineered Feature Analysis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capture the non-linear depreciation of housing values over time, the numerical feature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was engineered into a categorical feature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PropertyAge_bins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using structural age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brackets: 'New' ($\le 15$ years), 'Moderate' ($16-35$ years), and 'Old' ($&gt;35$ years) (see Figure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3).</w:t>
      </w:r>
    </w:p>
    <w:p>
      <w:pPr>
        <w:sectPr>
          <w:pgSz w:w="11906" w:h="16838"/>
          <w:pgMar w:top="680" w:right="1104" w:bottom="1440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45478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45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2" w:lineRule="exact" w:before="176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mathematically prove that these binned age groups represent statistically distinct house prices,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we conducted formal hypothesis testing: * </w:t>
      </w:r>
      <w:r>
        <w:rPr>
          <w:rFonts w:ascii="Helvetica" w:hAnsi="Helvetica" w:eastAsia="Helvetica"/>
          <w:b/>
          <w:i w:val="0"/>
          <w:color w:val="333333"/>
          <w:sz w:val="22"/>
        </w:rPr>
        <w:t>ANOVA F-Test: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one-way Analysis of Variance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(ANOVA) test across the three age categories resulted in a highly significant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F-statistic of 113.82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a </w:t>
      </w:r>
      <w:r>
        <w:rPr>
          <w:rFonts w:ascii="Helvetica" w:hAnsi="Helvetica" w:eastAsia="Helvetica"/>
          <w:b/>
          <w:i w:val="0"/>
          <w:color w:val="333333"/>
          <w:sz w:val="22"/>
        </w:rPr>
        <w:t>p-value of 0.0000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($p &lt; 0.05$). This statistically confirms that the mean housing prices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among 'New', 'Moderate', and 'Old' properties are significantly different. * </w:t>
      </w:r>
      <w:r>
        <w:rPr>
          <w:rFonts w:ascii="Helvetica" w:hAnsi="Helvetica" w:eastAsia="Helvetica"/>
          <w:b/>
          <w:i w:val="0"/>
          <w:color w:val="333333"/>
          <w:sz w:val="22"/>
        </w:rPr>
        <w:t>Student's T-Test: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independent two-sample t-test between the 'New' and 'Old' property subsets yielded a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t-statistic </w:t>
      </w:r>
      <w:r>
        <w:rPr>
          <w:rFonts w:ascii="Helvetica" w:hAnsi="Helvetica" w:eastAsia="Helvetica"/>
          <w:b/>
          <w:i w:val="0"/>
          <w:color w:val="333333"/>
          <w:sz w:val="22"/>
        </w:rPr>
        <w:t>of 14.85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a </w:t>
      </w:r>
      <w:r>
        <w:rPr>
          <w:rFonts w:ascii="Helvetica" w:hAnsi="Helvetica" w:eastAsia="Helvetica"/>
          <w:b/>
          <w:i w:val="0"/>
          <w:color w:val="333333"/>
          <w:sz w:val="22"/>
        </w:rPr>
        <w:t>p-value of 0.0000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confirming that new properties command a statistically higher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price profile.</w:t>
      </w:r>
    </w:p>
    <w:p>
      <w:pPr>
        <w:autoSpaceDN w:val="0"/>
        <w:autoSpaceDE w:val="0"/>
        <w:widowControl/>
        <w:spacing w:line="352" w:lineRule="exact" w:before="304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This statistical validation justified our encoding strategy (Ordinal Encoding) in the preprocessing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pipeline, allowing tree splits in XGBoost and Random Forest to branch on clean structural age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thresholds.</w:t>
      </w:r>
    </w:p>
    <w:p>
      <w:pPr>
        <w:autoSpaceDN w:val="0"/>
        <w:autoSpaceDE w:val="0"/>
        <w:widowControl/>
        <w:spacing w:line="330" w:lineRule="exact" w:before="9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3.4 Correlation Analysis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correlation heatmap was created to look at linear relationships between numerical features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the target variable (see Figure 4).</w:t>
      </w:r>
    </w:p>
    <w:p>
      <w:pPr>
        <w:sectPr>
          <w:pgSz w:w="11906" w:h="16838"/>
          <w:pgMar w:top="720" w:right="1104" w:bottom="798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094730" cy="55448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94730" cy="5544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52" w:lineRule="exact" w:before="176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 strong positive correlation was found between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TotalBedrooms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(correlation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coefficient </w:t>
      </w:r>
      <w:r>
        <w:rPr>
          <w:rFonts w:ascii="Symbol" w:hAnsi="Symbol" w:eastAsia="Symbol"/>
          <w:b w:val="0"/>
          <w:i w:val="0"/>
          <w:color w:val="333333"/>
          <w:sz w:val="22"/>
        </w:rPr>
        <w:t>≈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0.85). In linear models, this causes severe multicollinearity, inflating the variance of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regression coefficients and rendering the model unstable. To balance this, we engineered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BedroomsRatio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($r \approx -0.26$).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Regarding the target variable,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IncomeLevel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showed a strong positive correlation with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($r \approx 0.69$), identifying it as the single most predictive feature. Coordinates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Latitude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Longitude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showed weak individual linear correlations ($r \approx -0.08$ and $r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\approx -0.05$), yet they are highly predictive of house price through geographic interaction. This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required using models like XGBoost that split coordinates in multi-dimensional space to capture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localized value groups.</w:t>
      </w:r>
    </w:p>
    <w:p>
      <w:pPr>
        <w:sectPr>
          <w:pgSz w:w="11906" w:h="16838"/>
          <w:pgMar w:top="720" w:right="1104" w:bottom="102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6"/>
        <w:ind w:left="0" w:right="0"/>
      </w:pPr>
    </w:p>
    <w:p>
      <w:pPr>
        <w:autoSpaceDN w:val="0"/>
        <w:autoSpaceDE w:val="0"/>
        <w:widowControl/>
        <w:spacing w:line="332" w:lineRule="exact" w:before="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Key Insights from EDA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dataset has missing values in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which were dropped during training to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preserve distribution shapes, but handled via median imputer in production to handle user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default inputs.</w:t>
      </w:r>
    </w:p>
    <w:p>
      <w:pPr>
        <w:autoSpaceDN w:val="0"/>
        <w:tabs>
          <w:tab w:pos="660" w:val="left"/>
        </w:tabs>
        <w:autoSpaceDE w:val="0"/>
        <w:widowControl/>
        <w:spacing w:line="304" w:lineRule="exact" w:before="198" w:after="0"/>
        <w:ind w:left="3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The target price is right-skewed with a cap at 5.0, requiring clipping bounds in inference.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Indicators like occupancy and rooms per household have heavy outlier tails, directing our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choice toward tree-based ensembles (XGBoost/Random Forest) that are naturally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outlier-resistant.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Location coordinates do not exhibit simple linear relationships, calling for non-parametric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model architectures.</w:t>
      </w:r>
    </w:p>
    <w:p>
      <w:pPr>
        <w:autoSpaceDN w:val="0"/>
        <w:autoSpaceDE w:val="0"/>
        <w:widowControl/>
        <w:spacing w:line="352" w:lineRule="exact" w:before="63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 general, the exploratory data analysis offered a solid basis for feature engineering, model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selection, and evaluation strategies used in this project.</w:t>
      </w:r>
    </w:p>
    <w:p>
      <w:pPr>
        <w:autoSpaceDN w:val="0"/>
        <w:autoSpaceDE w:val="0"/>
        <w:widowControl/>
        <w:spacing w:line="480" w:lineRule="exact" w:before="994" w:after="0"/>
        <w:ind w:left="30" w:right="144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 xml:space="preserve">Section D: System Architecture and Machine Learning Techniques </w:t>
      </w:r>
      <w:r>
        <w:rPr>
          <w:rFonts w:ascii="Helvetica" w:hAnsi="Helvetica" w:eastAsia="Helvetica"/>
          <w:b/>
          <w:i w:val="0"/>
          <w:color w:val="1F3A52"/>
          <w:sz w:val="30"/>
        </w:rPr>
        <w:t>(10 Marks)</w:t>
      </w:r>
    </w:p>
    <w:p>
      <w:pPr>
        <w:autoSpaceDN w:val="0"/>
        <w:autoSpaceDE w:val="0"/>
        <w:widowControl/>
        <w:spacing w:line="352" w:lineRule="exact" w:before="346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This section explains the overall system architecture and the machine learning methods used to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create the real estate price prediction system. The solution combines data cleaning,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preprocessing, model training, evaluation, and web deployment into a single, cohesive pipeline.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This approach guarantees reliability, consistency, and practical utility.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4.1 Overall System Architecture</w:t>
      </w:r>
    </w:p>
    <w:p>
      <w:pPr>
        <w:autoSpaceDN w:val="0"/>
        <w:autoSpaceDE w:val="0"/>
        <w:widowControl/>
        <w:spacing w:line="304" w:lineRule="exact" w:before="318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The system utilizes a modular, end-to-end machine learning design with four key layers:</w:t>
      </w:r>
    </w:p>
    <w:p>
      <w:pPr>
        <w:autoSpaceDN w:val="0"/>
        <w:autoSpaceDE w:val="0"/>
        <w:widowControl/>
        <w:spacing w:line="302" w:lineRule="exact" w:before="4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4.1.1 Data Layer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Input Data: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input dataset is composed of housing data containing structural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characteristics (e.g., total rooms, bedrooms, property age), local demographics (e.g.,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population, average occupancy), and geographical coordinate coordinates (latitude,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longitude).</w:t>
      </w:r>
    </w:p>
    <w:p>
      <w:pPr>
        <w:sectPr>
          <w:pgSz w:w="11906" w:h="16838"/>
          <w:pgMar w:top="676" w:right="1104" w:bottom="1052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30" w:val="left"/>
        </w:tabs>
        <w:autoSpaceDE w:val="0"/>
        <w:widowControl/>
        <w:spacing w:line="328" w:lineRule="exact" w:before="0" w:after="0"/>
        <w:ind w:left="30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Data Partitioning: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dataset is split into an 80/20 ratio for training and testing to facilitate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independent model validation and prevent data leakage.</w:t>
      </w:r>
    </w:p>
    <w:p>
      <w:pPr>
        <w:autoSpaceDN w:val="0"/>
        <w:autoSpaceDE w:val="0"/>
        <w:widowControl/>
        <w:spacing w:line="302" w:lineRule="exact" w:before="794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4.1.2 Processing and Feature Engineering Layer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Numerical Scaling: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Standard scaling is applied to numeric inputs to prevent features with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large ranges (e.g., population) from dominating distance-based calculations or slowing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gradient convergence.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Categorical Encoding: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Discretized age brackets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PropertyAge_bins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) are mapped using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ordinal encoding to translate categorical labels into numeric representations readable by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models.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Derived Features: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Engineered metrics such as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BedroomsRatio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 xml:space="preserve">RoomsPerHousehold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are created to capture the internal space structure of properties, addressing raw column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multicollinearity.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Pipeline Consistency: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unified preprocessing pipeline ensures that feature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transformations remain identical during training, testing, and production deployment.</w:t>
      </w:r>
    </w:p>
    <w:p>
      <w:pPr>
        <w:autoSpaceDN w:val="0"/>
        <w:autoSpaceDE w:val="0"/>
        <w:widowControl/>
        <w:spacing w:line="302" w:lineRule="exact" w:before="794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4.1.3 Modeling Layer</w:t>
      </w:r>
    </w:p>
    <w:p>
      <w:pPr>
        <w:autoSpaceDN w:val="0"/>
        <w:tabs>
          <w:tab w:pos="630" w:val="left"/>
        </w:tabs>
        <w:autoSpaceDE w:val="0"/>
        <w:widowControl/>
        <w:spacing w:line="304" w:lineRule="exact" w:before="198" w:after="0"/>
        <w:ind w:left="30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Model Comparison: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Multiple supervised regression models are trained and benchmarked.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Non-Parametric Focus: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Tree-based ensembles (Random Forest and XGBoost) are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prioritized due to their ability to capture complex non-linear spatial interactions and outlier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robustness.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Selection Metric: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Model selection depends on cross-validated $R^2$ scores, Root Mean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Squared Error (RMSE), and Mean Absolute Error (MAE).</w:t>
      </w:r>
    </w:p>
    <w:p>
      <w:pPr>
        <w:autoSpaceDN w:val="0"/>
        <w:autoSpaceDE w:val="0"/>
        <w:widowControl/>
        <w:spacing w:line="302" w:lineRule="exact" w:before="794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2"/>
        </w:rPr>
        <w:t>4.1.4 Application Layer (Deployment)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Model Serialization: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fitted preprocessor and best-performing estimators are serialized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and saved using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Flask Backend: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web server loads the serialized components, exposes a prediction API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/predict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), and serves the interactive frontend interface.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Interactive Interface: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responsive webpage allows users to input property attributes and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receive real-time, boundary-safe predicted house prices.</w:t>
      </w:r>
    </w:p>
    <w:p>
      <w:pPr>
        <w:sectPr>
          <w:pgSz w:w="11906" w:h="16838"/>
          <w:pgMar w:top="680" w:right="1164" w:bottom="970" w:left="115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332" w:lineRule="exact" w:before="3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4.2 Machine Learning Problem Formulation</w:t>
      </w:r>
    </w:p>
    <w:p>
      <w:pPr>
        <w:autoSpaceDN w:val="0"/>
        <w:autoSpaceDE w:val="0"/>
        <w:widowControl/>
        <w:spacing w:line="352" w:lineRule="exact" w:before="270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task is framed as a continuous regression problem, aiming to predict the monetary value of 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residential property: * </w:t>
      </w:r>
      <w:r>
        <w:rPr>
          <w:rFonts w:ascii="Helvetica" w:hAnsi="Helvetica" w:eastAsia="Helvetica"/>
          <w:b/>
          <w:i w:val="0"/>
          <w:color w:val="333333"/>
          <w:sz w:val="22"/>
        </w:rPr>
        <w:t>Target Variable: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TargetPrice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(representing the house value scaled by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$100,000, where a value of 2.0000 denotes a price of $200,000). * </w:t>
      </w:r>
      <w:r>
        <w:rPr>
          <w:rFonts w:ascii="Helvetica" w:hAnsi="Helvetica" w:eastAsia="Helvetica"/>
          <w:b/>
          <w:i w:val="0"/>
          <w:color w:val="333333"/>
          <w:sz w:val="22"/>
        </w:rPr>
        <w:t>Evaluation Focus: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Because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this is a continuous prediction task (regression) rather than classification, probability-based metrics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like ROC AUC are not applicable. Instead, model performance is evaluated using $R^2$ Score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(goodness of fit), RMSE (error magnitude with penalty for large errors), and MAE (average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absolute prediction error).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4.3 Preprocessing and Feature Handling</w:t>
      </w:r>
    </w:p>
    <w:p>
      <w:pPr>
        <w:autoSpaceDN w:val="0"/>
        <w:autoSpaceDE w:val="0"/>
        <w:widowControl/>
        <w:spacing w:line="352" w:lineRule="exact" w:before="270" w:after="404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prepare the dataset for model training and maintain consistency across deployment, the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preprocessing steps are integrated into a single pipeline (see Figure 5):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9678"/>
      </w:tblGrid>
      <w:tr>
        <w:trPr>
          <w:trHeight w:hRule="exact" w:val="3064"/>
        </w:trPr>
        <w:tc>
          <w:tcPr>
            <w:tcW w:type="dxa" w:w="963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4f4f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32" w:after="0"/>
              <w:ind w:left="156" w:right="144" w:firstLine="0"/>
              <w:jc w:val="left"/>
            </w:pP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graph TD A[estate_train.csv / Raw Data] --&gt; B[Data Cleaning: Drop ID, Drop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PropertyAge NaNs] B --&gt; C[Feature Engineering: PropertyAge Binning] C --&gt;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D[ColumnTransformer Preprocessing: Imputation + StandardScaler + OrdinalEncoder]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D --&gt; E[Train-Test Split 80/20] E --&gt; F[GridSearchCV Hyperparameter Tuning] F --&gt;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G[Linear, RF, and XGBoost Best Estimators] G --&gt; H[Model Serialization: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joblib.dump] H --&gt; I[Flask Web Server: app.py] J[estate_test.csv] --&gt; K[Impute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Test Age via Train Median] K --&gt; L[Test set Binning] L --&gt; M[Fitted Preprocessor </w:t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 xml:space="preserve">Transform] M --&gt; N[Predict TargetPrice using Saved XGBoost Model] N --&gt;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>O[submission.csv]</w:t>
            </w:r>
          </w:p>
        </w:tc>
      </w:tr>
    </w:tbl>
    <w:p>
      <w:pPr>
        <w:autoSpaceDN w:val="0"/>
        <w:autoSpaceDE w:val="0"/>
        <w:widowControl/>
        <w:spacing w:line="304" w:lineRule="exact" w:before="22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333333"/>
          <w:sz w:val="22"/>
        </w:rPr>
        <w:t>Figure 5: Data Preprocessing and Workflow Pipeline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302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Numerical Features: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Standardized using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StandardScaler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to center features around zero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with unit variance, helping the linear baseline model converge rapidly.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Categorical Features: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Ordinally encoded to represent 'New', 'Moderate', and 'Old' groups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as ordered numeric values, preserving the temporal hierarchy.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50" w:after="0"/>
        <w:ind w:left="330" w:right="14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Pipeline Integration: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Preprocessing and regression models are encapsulated within a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scikit-learn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Pipeline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ColumnTransformer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. This completely prevents data leakage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during cross-validation and ensures that production inference inputs are transformed in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exact same manner as training vectors.</w:t>
      </w:r>
    </w:p>
    <w:p>
      <w:pPr>
        <w:sectPr>
          <w:pgSz w:w="11906" w:h="16838"/>
          <w:pgMar w:top="714" w:right="1104" w:bottom="1122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94"/>
        <w:ind w:left="0" w:right="0"/>
      </w:pPr>
    </w:p>
    <w:p>
      <w:pPr>
        <w:autoSpaceDN w:val="0"/>
        <w:autoSpaceDE w:val="0"/>
        <w:widowControl/>
        <w:spacing w:line="332" w:lineRule="exact" w:before="384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4.4 Model Selection and Training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Several machine learning models were trained and evaluated to identify the optimal predictor for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real estate mass appraisal: * </w:t>
      </w:r>
      <w:r>
        <w:rPr>
          <w:rFonts w:ascii="Helvetica" w:hAnsi="Helvetica" w:eastAsia="Helvetica"/>
          <w:b/>
          <w:i w:val="0"/>
          <w:color w:val="333333"/>
          <w:sz w:val="22"/>
        </w:rPr>
        <w:t>Linear Regression: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Serves as the baseline parametric model. It is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mathematically transparent and fast but fails to capture non-linear depreciation and geographic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coordinate interactions. * </w:t>
      </w:r>
      <w:r>
        <w:rPr>
          <w:rFonts w:ascii="Helvetica" w:hAnsi="Helvetica" w:eastAsia="Helvetica"/>
          <w:b/>
          <w:i w:val="0"/>
          <w:color w:val="333333"/>
          <w:sz w:val="22"/>
        </w:rPr>
        <w:t>Random Forest Regressor: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 ensemble bagging method that trains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multiple independent decision trees in parallel. It averages predictions to reduce variance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provides strong resistance to data noise and outliers. * </w:t>
      </w:r>
      <w:r>
        <w:rPr>
          <w:rFonts w:ascii="Helvetica" w:hAnsi="Helvetica" w:eastAsia="Helvetica"/>
          <w:b/>
          <w:i w:val="0"/>
          <w:color w:val="333333"/>
          <w:sz w:val="22"/>
        </w:rPr>
        <w:t>XGBoost Regressor: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 advanced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gradient boosting algorithm that builds trees sequentially to correct the residuals of preceding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estimators. It incorporates L1/L2 regularization to control model complexity, handles tabular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interactions exceptionally well, and achieves the highest overall accuracy.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4.5 Model Evaluation Strategy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 ensure generalizability and prevent overfitting, the following validation framework was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executed: * </w:t>
      </w:r>
      <w:r>
        <w:rPr>
          <w:rFonts w:ascii="Helvetica" w:hAnsi="Helvetica" w:eastAsia="Helvetica"/>
          <w:b/>
          <w:i w:val="0"/>
          <w:color w:val="333333"/>
          <w:sz w:val="22"/>
        </w:rPr>
        <w:t>Data Splitting: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An 80/20 train-test split was used for testing final generalized models.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* </w:t>
      </w:r>
      <w:r>
        <w:rPr>
          <w:rFonts w:ascii="Helvetica" w:hAnsi="Helvetica" w:eastAsia="Helvetica"/>
          <w:b/>
          <w:i w:val="0"/>
          <w:color w:val="333333"/>
          <w:sz w:val="22"/>
        </w:rPr>
        <w:t>Cross-Validation: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 6-fold cross-validation was implemented during hyperparameter tuning to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ensure stable evaluations across different subsets of data. * </w:t>
      </w:r>
      <w:r>
        <w:rPr>
          <w:rFonts w:ascii="Helvetica" w:hAnsi="Helvetica" w:eastAsia="Helvetica"/>
          <w:b/>
          <w:i w:val="0"/>
          <w:color w:val="333333"/>
          <w:sz w:val="22"/>
        </w:rPr>
        <w:t>Clipping Bounds: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During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deployment, a lower bound threshold of $0.0$ was applied to ensure the system never yields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negative or mathematically impossible house prices.</w:t>
      </w:r>
    </w:p>
    <w:p>
      <w:pPr>
        <w:autoSpaceDN w:val="0"/>
        <w:autoSpaceDE w:val="0"/>
        <w:widowControl/>
        <w:spacing w:line="332" w:lineRule="exact" w:before="98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4.6 Model Deployment and Web Application Integration</w:t>
      </w:r>
    </w:p>
    <w:p>
      <w:pPr>
        <w:autoSpaceDN w:val="0"/>
        <w:autoSpaceDE w:val="0"/>
        <w:widowControl/>
        <w:spacing w:line="352" w:lineRule="exact" w:before="27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trained XGBoost model, baseline linear model, Random Forest model, and the preprocessing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pipeline were saved and deployed in a Flask-based web application. This integration allows users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to: * </w:t>
      </w:r>
      <w:r>
        <w:rPr>
          <w:rFonts w:ascii="Helvetica" w:hAnsi="Helvetica" w:eastAsia="Helvetica"/>
          <w:b/>
          <w:i w:val="0"/>
          <w:color w:val="333333"/>
          <w:sz w:val="22"/>
        </w:rPr>
        <w:t>Input House Attributes: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Enter property dimensions, occupants, coordinates, and age via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responsive sliders and number input fields. * </w:t>
      </w:r>
      <w:r>
        <w:rPr>
          <w:rFonts w:ascii="Helvetica" w:hAnsi="Helvetica" w:eastAsia="Helvetica"/>
          <w:b/>
          <w:i w:val="0"/>
          <w:color w:val="333333"/>
          <w:sz w:val="22"/>
        </w:rPr>
        <w:t>Calculate Features: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Automatically derive feature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columns (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BedroomsRatio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RoomsPerHousehold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and age categories) in the backend. * </w:t>
      </w:r>
      <w:r>
        <w:rPr>
          <w:rFonts w:ascii="Helvetica" w:hAnsi="Helvetica" w:eastAsia="Helvetica"/>
          <w:b/>
          <w:i w:val="0"/>
          <w:color w:val="333333"/>
          <w:sz w:val="22"/>
        </w:rPr>
        <w:t xml:space="preserve">Receive </w:t>
      </w:r>
      <w:r>
        <w:rPr>
          <w:rFonts w:ascii="Helvetica" w:hAnsi="Helvetica" w:eastAsia="Helvetica"/>
          <w:b/>
          <w:i w:val="0"/>
          <w:color w:val="333333"/>
          <w:sz w:val="22"/>
        </w:rPr>
        <w:t>Real-Time Predictions: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Instantaneous price estimations are generated by passing user values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through the loaded preprocessor and XGBoost model.</w:t>
      </w:r>
    </w:p>
    <w:p>
      <w:pPr>
        <w:autoSpaceDN w:val="0"/>
        <w:autoSpaceDE w:val="0"/>
        <w:widowControl/>
        <w:spacing w:line="352" w:lineRule="exact" w:before="304" w:after="0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deployment demonstrates the practical application of the developed predictive models beyond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offline Jupyter notebooks, creating a real-world software tool.</w:t>
      </w:r>
    </w:p>
    <w:p>
      <w:pPr>
        <w:autoSpaceDN w:val="0"/>
        <w:autoSpaceDE w:val="0"/>
        <w:widowControl/>
        <w:spacing w:line="332" w:lineRule="exact" w:before="44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Summary</w:t>
      </w:r>
    </w:p>
    <w:p>
      <w:pPr>
        <w:sectPr>
          <w:pgSz w:w="11906" w:h="16838"/>
          <w:pgMar w:top="714" w:right="1104" w:bottom="86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40" w:lineRule="exact" w:before="0" w:after="0"/>
        <w:ind w:left="30" w:right="50" w:firstLine="0"/>
        <w:jc w:val="both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This system architecture merges effective preprocessing, ensemble learning, and user-friendly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deployment to create a reliable real estate price prediction system. By combining best practices in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machine learning with a practical application interface, the solution meets both technical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professional standards expected in applied machine learning coursework.</w:t>
      </w:r>
    </w:p>
    <w:p>
      <w:pPr>
        <w:autoSpaceDN w:val="0"/>
        <w:autoSpaceDE w:val="0"/>
        <w:widowControl/>
        <w:spacing w:line="412" w:lineRule="exact" w:before="1062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E: Full Model Evaluation &amp; Implementation (40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Performance Results (Test Set)</w:t>
      </w:r>
    </w:p>
    <w:p>
      <w:pPr>
        <w:autoSpaceDN w:val="0"/>
        <w:autoSpaceDE w:val="0"/>
        <w:widowControl/>
        <w:spacing w:line="352" w:lineRule="exact" w:before="270" w:after="424"/>
        <w:ind w:left="3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models were trained using 6-fold cross-validation on the training set and evaluated on the test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set: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0.0" w:type="dxa"/>
      </w:tblPr>
      <w:tblGrid>
        <w:gridCol w:w="1936"/>
        <w:gridCol w:w="1936"/>
        <w:gridCol w:w="1936"/>
        <w:gridCol w:w="1936"/>
        <w:gridCol w:w="1936"/>
      </w:tblGrid>
      <w:tr>
        <w:trPr>
          <w:trHeight w:hRule="exact" w:val="1392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Model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Tuning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Hyperparameters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470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$R^2$ Score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0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Root Mean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Squared Error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(RMSE)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shd w:fill="f2f4f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276" w:after="0"/>
              <w:ind w:left="232" w:right="288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 xml:space="preserve">Mean Absolute </w:t>
            </w:r>
            <w:r>
              <w:rPr>
                <w:rFonts w:ascii="Helvetica" w:hAnsi="Helvetica" w:eastAsia="Helvetica"/>
                <w:b/>
                <w:i w:val="0"/>
                <w:color w:val="1F3A52"/>
                <w:sz w:val="19"/>
              </w:rPr>
              <w:t>Error (MAE)</w:t>
            </w:r>
          </w:p>
        </w:tc>
      </w:tr>
      <w:tr>
        <w:trPr>
          <w:trHeight w:hRule="exact" w:val="1088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2" w:right="576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 xml:space="preserve">Linear </w:t>
            </w:r>
            <w:r>
              <w:br/>
            </w: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Regression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4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None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0.6521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0.6693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316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0.4805</w:t>
            </w:r>
          </w:p>
        </w:tc>
      </w:tr>
      <w:tr>
        <w:trPr>
          <w:trHeight w:hRule="exact" w:val="2000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0" w:right="0" w:firstLine="0"/>
              <w:jc w:val="center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Random Forest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0" w:firstLine="0"/>
              <w:jc w:val="left"/>
            </w:pP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n_estimators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br/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200,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max_depth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12,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min_samples_leaf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2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30" w:val="left"/>
              </w:tabs>
              <w:autoSpaceDE w:val="0"/>
              <w:widowControl/>
              <w:spacing w:line="306" w:lineRule="exact" w:before="728" w:after="0"/>
              <w:ind w:left="14" w:right="1008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0.7854 </w:t>
            </w:r>
            <w:r>
              <w:br/>
            </w:r>
            <w:r>
              <w:rPr>
                <w:rFonts w:ascii="Courier" w:hAnsi="Courier" w:eastAsia="Courier"/>
                <w:b w:val="0"/>
                <w:i w:val="0"/>
                <w:color w:val="333333"/>
                <w:sz w:val="19"/>
              </w:rPr>
              <w:t>f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: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2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0.5257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2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0.3522</w:t>
            </w:r>
          </w:p>
        </w:tc>
      </w:tr>
      <w:tr>
        <w:trPr>
          <w:trHeight w:hRule="exact" w:val="2000"/>
        </w:trPr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XGBoost</w:t>
            </w:r>
          </w:p>
        </w:tc>
        <w:tc>
          <w:tcPr>
            <w:tcW w:type="dxa" w:w="1930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4" w:lineRule="exact" w:before="124" w:after="0"/>
              <w:ind w:left="234" w:right="144" w:firstLine="0"/>
              <w:jc w:val="left"/>
            </w:pP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n_estimators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200,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max_depth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6, </w:t>
            </w:r>
            <w:r>
              <w:br/>
            </w:r>
            <w:r>
              <w:rPr>
                <w:shd w:val="clear" w:color="auto" w:fill="f4f4f4"/>
                <w:rFonts w:ascii="Courier" w:hAnsi="Courier" w:eastAsia="Courier"/>
                <w:b w:val="0"/>
                <w:i w:val="0"/>
                <w:color w:val="333333"/>
                <w:sz w:val="19"/>
              </w:rPr>
              <w:t>learning_rate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 xml:space="preserve">: </w:t>
            </w:r>
            <w:r>
              <w:rPr>
                <w:rFonts w:ascii="Helvetica" w:hAnsi="Helvetica" w:eastAsia="Helvetica"/>
                <w:b w:val="0"/>
                <w:i w:val="0"/>
                <w:color w:val="333333"/>
                <w:sz w:val="19"/>
              </w:rPr>
              <w:t>0.1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0.8256</w:t>
            </w:r>
          </w:p>
        </w:tc>
        <w:tc>
          <w:tcPr>
            <w:tcW w:type="dxa" w:w="1926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0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0.4739</w:t>
            </w:r>
          </w:p>
        </w:tc>
        <w:tc>
          <w:tcPr>
            <w:tcW w:type="dxa" w:w="1928"/>
            <w:tcBorders>
              <w:start w:sz="6.0" w:val="single" w:color="#DDDDDD"/>
              <w:top w:sz="6.0" w:val="single" w:color="#DDDDDD"/>
              <w:end w:sz="6.0" w:val="single" w:color="#DDDDDD"/>
              <w:bottom w:sz="6.0" w:val="single" w:color="#DDDDDD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774" w:after="0"/>
              <w:ind w:left="232" w:right="0" w:firstLine="0"/>
              <w:jc w:val="left"/>
            </w:pPr>
            <w:r>
              <w:rPr>
                <w:rFonts w:ascii="Helvetica" w:hAnsi="Helvetica" w:eastAsia="Helvetica"/>
                <w:b/>
                <w:i w:val="0"/>
                <w:color w:val="333333"/>
                <w:sz w:val="19"/>
              </w:rPr>
              <w:t>0.3124</w:t>
            </w:r>
          </w:p>
        </w:tc>
      </w:tr>
    </w:tbl>
    <w:p>
      <w:pPr>
        <w:autoSpaceDN w:val="0"/>
        <w:autoSpaceDE w:val="0"/>
        <w:widowControl/>
        <w:spacing w:line="330" w:lineRule="exact" w:before="28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Web Application Setup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Backend (</w:t>
      </w:r>
      <w:r>
        <w:rPr>
          <w:shd w:val="clear" w:color="auto" w:fill="f4f4f4"/>
          <w:rFonts w:ascii="Courier" w:hAnsi="Courier" w:eastAsia="Courier"/>
          <w:b/>
          <w:i w:val="0"/>
          <w:color w:val="333333"/>
          <w:sz w:val="19"/>
        </w:rPr>
        <w:t>app.py</w:t>
      </w:r>
      <w:r>
        <w:rPr>
          <w:rFonts w:ascii="Helvetica" w:hAnsi="Helvetica" w:eastAsia="Helvetica"/>
          <w:b/>
          <w:i w:val="0"/>
          <w:color w:val="333333"/>
          <w:sz w:val="22"/>
        </w:rPr>
        <w:t>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Utilizes Flask. Loads serialized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preprocessor.joblib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br/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linear_regression_model.joblib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xgboost_model.joblib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, and </w:t>
      </w:r>
      <w:r>
        <w:br/>
      </w:r>
      <w:r>
        <w:tab/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random_forest_model.joblib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on startup. Serves </w:t>
      </w:r>
      <w:r>
        <w:rPr>
          <w:shd w:val="clear" w:color="auto" w:fill="f4f4f4"/>
          <w:rFonts w:ascii="Courier" w:hAnsi="Courier" w:eastAsia="Courier"/>
          <w:b w:val="0"/>
          <w:i w:val="0"/>
          <w:color w:val="333333"/>
          <w:sz w:val="19"/>
        </w:rPr>
        <w:t>/predict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endpoint returning JSON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predictions.</w:t>
      </w:r>
    </w:p>
    <w:p>
      <w:pPr>
        <w:sectPr>
          <w:pgSz w:w="11906" w:h="16838"/>
          <w:pgMar w:top="680" w:right="1104" w:bottom="848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autoSpaceDE w:val="0"/>
        <w:widowControl/>
        <w:spacing w:line="328" w:lineRule="exact" w:before="0" w:after="0"/>
        <w:ind w:left="660" w:right="288" w:firstLine="0"/>
        <w:jc w:val="left"/>
      </w:pPr>
      <w:r>
        <w:rPr>
          <w:rFonts w:ascii="Helvetica" w:hAnsi="Helvetica" w:eastAsia="Helvetica"/>
          <w:b/>
          <w:i w:val="0"/>
          <w:color w:val="333333"/>
          <w:sz w:val="22"/>
        </w:rPr>
        <w:t>Frontend (</w:t>
      </w:r>
      <w:r>
        <w:rPr>
          <w:shd w:val="clear" w:color="auto" w:fill="f4f4f4"/>
          <w:rFonts w:ascii="Courier" w:hAnsi="Courier" w:eastAsia="Courier"/>
          <w:b/>
          <w:i w:val="0"/>
          <w:color w:val="333333"/>
          <w:sz w:val="19"/>
        </w:rPr>
        <w:t>templates/index.html</w:t>
      </w:r>
      <w:r>
        <w:rPr>
          <w:rFonts w:ascii="Helvetica" w:hAnsi="Helvetica" w:eastAsia="Helvetica"/>
          <w:b/>
          <w:i w:val="0"/>
          <w:color w:val="333333"/>
          <w:sz w:val="22"/>
        </w:rPr>
        <w:t>):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Glassmorphic web panel with Outfit typography and 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>dynamic dark mode sliders for all 10 features: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Direct sliders: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IncomeLevel, PropertyAge, TotalRooms, TotalBedrooms, AvgOccupancy,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RoomsPerHousehold, BedroomsRatio.</w:t>
      </w:r>
    </w:p>
    <w:p>
      <w:pPr>
        <w:autoSpaceDN w:val="0"/>
        <w:tabs>
          <w:tab w:pos="990" w:val="left"/>
        </w:tabs>
        <w:autoSpaceDE w:val="0"/>
        <w:widowControl/>
        <w:spacing w:line="304" w:lineRule="exact" w:before="198" w:after="0"/>
        <w:ind w:left="66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Direct inputs: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NeighborhoodPop, Latitude, Longitude.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864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Live updates are sent asynchronously to the backend on slider adjust, updating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predicted prices dynamically with a neon green layout.</w:t>
      </w:r>
    </w:p>
    <w:p>
      <w:pPr>
        <w:autoSpaceDN w:val="0"/>
        <w:autoSpaceDE w:val="0"/>
        <w:widowControl/>
        <w:spacing w:line="412" w:lineRule="exact" w:before="170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30"/>
        </w:rPr>
        <w:t>Section F: Critical Evaluation &amp; Limitations (10 Marks)</w:t>
      </w:r>
    </w:p>
    <w:p>
      <w:pPr>
        <w:autoSpaceDN w:val="0"/>
        <w:autoSpaceDE w:val="0"/>
        <w:widowControl/>
        <w:spacing w:line="332" w:lineRule="exact" w:before="528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1. Domain Suitability of the Model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The Random Forest Regressor is highly suited for real estate valuation. It is robust to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outliers (which are common in real estate due to luxury housing spikes) and captures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complex interactions between geographic coordinates and average occupancy.</w:t>
      </w:r>
    </w:p>
    <w:p>
      <w:pPr>
        <w:autoSpaceDN w:val="0"/>
        <w:autoSpaceDE w:val="0"/>
        <w:widowControl/>
        <w:spacing w:line="332" w:lineRule="exact" w:before="816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2. Suitability of Deep Learning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While Deep Learning (e.g. MLPs) can approximate the spatial price function, it is less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suitable here due to: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115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Data scale: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Tabular dataset size (15k rows) is too small to train large network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parameters without massive overfitting.</w:t>
      </w:r>
    </w:p>
    <w:p>
      <w:pPr>
        <w:autoSpaceDN w:val="0"/>
        <w:tabs>
          <w:tab w:pos="990" w:val="left"/>
        </w:tabs>
        <w:autoSpaceDE w:val="0"/>
        <w:widowControl/>
        <w:spacing w:line="352" w:lineRule="exact" w:before="150" w:after="0"/>
        <w:ind w:left="660" w:right="288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/>
          <w:color w:val="333333"/>
          <w:sz w:val="22"/>
        </w:rPr>
        <w:t>Interpretability: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Real estate appraisers require structural rules (e.g., how the bedrooms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ratio impacts price) which are inspectable in tree splits but completely hidden in deep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neural weights.</w:t>
      </w:r>
    </w:p>
    <w:p>
      <w:pPr>
        <w:autoSpaceDN w:val="0"/>
        <w:autoSpaceDE w:val="0"/>
        <w:widowControl/>
        <w:spacing w:line="332" w:lineRule="exact" w:before="1080" w:after="0"/>
        <w:ind w:left="3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3. Limitations of the Current Approach</w:t>
      </w:r>
    </w:p>
    <w:p>
      <w:pPr>
        <w:autoSpaceDN w:val="0"/>
        <w:tabs>
          <w:tab w:pos="660" w:val="left"/>
        </w:tabs>
        <w:autoSpaceDE w:val="0"/>
        <w:widowControl/>
        <w:spacing w:line="352" w:lineRule="exact" w:before="170" w:after="0"/>
        <w:ind w:left="330" w:right="576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Temporal Shift: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model does not include time metrics. Inflation, interest rates, and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seasonal spikes are completely ignored.</w:t>
      </w:r>
    </w:p>
    <w:p>
      <w:pPr>
        <w:sectPr>
          <w:pgSz w:w="11906" w:h="16838"/>
          <w:pgMar w:top="680" w:right="1104" w:bottom="1024" w:left="1124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58"/>
        <w:ind w:left="0" w:right="0"/>
      </w:pPr>
    </w:p>
    <w:p>
      <w:pPr>
        <w:autoSpaceDN w:val="0"/>
        <w:tabs>
          <w:tab w:pos="630" w:val="left"/>
        </w:tabs>
        <w:autoSpaceDE w:val="0"/>
        <w:widowControl/>
        <w:spacing w:line="336" w:lineRule="exact" w:before="0" w:after="0"/>
        <w:ind w:left="300" w:right="432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/>
          <w:i w:val="0"/>
          <w:color w:val="333333"/>
          <w:sz w:val="22"/>
        </w:rPr>
        <w:t>Geographical Constraints: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 The model is bound to the coordinate boundaries of the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training dataset. It cannot predict prices for properties outside these geographical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boundaries.</w:t>
      </w:r>
    </w:p>
    <w:p>
      <w:pPr>
        <w:autoSpaceDN w:val="0"/>
        <w:autoSpaceDE w:val="0"/>
        <w:widowControl/>
        <w:spacing w:line="332" w:lineRule="exact" w:before="816" w:after="0"/>
        <w:ind w:left="0" w:right="0" w:firstLine="0"/>
        <w:jc w:val="left"/>
      </w:pPr>
      <w:r>
        <w:rPr>
          <w:rFonts w:ascii="Helvetica" w:hAnsi="Helvetica" w:eastAsia="Helvetica"/>
          <w:b/>
          <w:i w:val="0"/>
          <w:color w:val="1F3A52"/>
          <w:sz w:val="24"/>
        </w:rPr>
        <w:t>4. Future Suggestions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70" w:after="0"/>
        <w:ind w:left="300" w:right="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We successfully implemented XGBoost and improved the $R^2$ score to </w:t>
      </w:r>
      <w:r>
        <w:rPr>
          <w:rFonts w:ascii="Helvetica" w:hAnsi="Helvetica" w:eastAsia="Helvetica"/>
          <w:b/>
          <w:i w:val="0"/>
          <w:color w:val="333333"/>
          <w:sz w:val="22"/>
        </w:rPr>
        <w:t>0.8256</w:t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. Future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work could incorporate LightGBM to speed up training.</w:t>
      </w:r>
    </w:p>
    <w:p>
      <w:pPr>
        <w:autoSpaceDN w:val="0"/>
        <w:tabs>
          <w:tab w:pos="630" w:val="left"/>
        </w:tabs>
        <w:autoSpaceDE w:val="0"/>
        <w:widowControl/>
        <w:spacing w:line="352" w:lineRule="exact" w:before="150" w:after="0"/>
        <w:ind w:left="300" w:right="720" w:firstLine="0"/>
        <w:jc w:val="left"/>
      </w:pPr>
      <w:r>
        <w:rPr>
          <w:rFonts w:ascii="Helvetica" w:hAnsi="Helvetica" w:eastAsia="Helvetica"/>
          <w:b w:val="0"/>
          <w:i w:val="0"/>
          <w:color w:val="333333"/>
          <w:sz w:val="22"/>
        </w:rPr>
        <w:t>•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 xml:space="preserve">Incorporate SHAP (Shapley Additive exPlanations) values to provide local feature </w:t>
      </w:r>
      <w:r>
        <w:tab/>
      </w:r>
      <w:r>
        <w:rPr>
          <w:rFonts w:ascii="Helvetica" w:hAnsi="Helvetica" w:eastAsia="Helvetica"/>
          <w:b w:val="0"/>
          <w:i w:val="0"/>
          <w:color w:val="333333"/>
          <w:sz w:val="22"/>
        </w:rPr>
        <w:t>contribution visualization in the web application UI.</w:t>
      </w:r>
    </w:p>
    <w:sectPr w:rsidR="00FC693F" w:rsidRPr="0006063C" w:rsidSect="00034616">
      <w:pgSz w:w="11906" w:h="16838"/>
      <w:pgMar w:top="680" w:right="1440" w:bottom="1440" w:left="115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