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428"/>
        <w:ind w:left="0" w:right="0"/>
      </w:pPr>
    </w:p>
    <w:p>
      <w:pPr>
        <w:autoSpaceDN w:val="0"/>
        <w:autoSpaceDE w:val="0"/>
        <w:widowControl/>
        <w:spacing w:line="552" w:lineRule="exact" w:before="0" w:after="0"/>
        <w:ind w:left="36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40"/>
        </w:rPr>
        <w:t>COMPREHENSIVE ASSESSMENT REPORT</w:t>
      </w:r>
    </w:p>
    <w:p>
      <w:pPr>
        <w:autoSpaceDN w:val="0"/>
        <w:autoSpaceDE w:val="0"/>
        <w:widowControl/>
        <w:spacing w:line="552" w:lineRule="exact" w:before="88" w:after="0"/>
        <w:ind w:left="36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40"/>
        </w:rPr>
        <w:t>(DRAFT)</w:t>
      </w:r>
    </w:p>
    <w:p>
      <w:pPr>
        <w:autoSpaceDN w:val="0"/>
        <w:autoSpaceDE w:val="0"/>
        <w:widowControl/>
        <w:spacing w:line="352" w:lineRule="exact" w:before="448" w:after="0"/>
        <w:ind w:left="36" w:right="1296" w:firstLine="0"/>
        <w:jc w:val="left"/>
      </w:pPr>
      <w:r>
        <w:rPr>
          <w:rFonts w:ascii="Helvetica" w:hAnsi="Helvetica" w:eastAsia="Helvetica"/>
          <w:b/>
          <w:i w:val="0"/>
          <w:color w:val="333333"/>
          <w:sz w:val="22"/>
        </w:rPr>
        <w:t>Module: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Computational Intelligence (CIS 6005) </w:t>
      </w:r>
      <w:r>
        <w:br/>
      </w:r>
      <w:r>
        <w:rPr>
          <w:rFonts w:ascii="Helvetica" w:hAnsi="Helvetica" w:eastAsia="Helvetica"/>
          <w:b/>
          <w:i w:val="0"/>
          <w:color w:val="333333"/>
          <w:sz w:val="22"/>
        </w:rPr>
        <w:t>Assessment: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WRIT1 - Deep Learning Plus AI Mini Project </w:t>
      </w:r>
      <w:r>
        <w:br/>
      </w:r>
      <w:r>
        <w:rPr>
          <w:rFonts w:ascii="Helvetica" w:hAnsi="Helvetica" w:eastAsia="Helvetica"/>
          <w:b/>
          <w:i w:val="0"/>
          <w:color w:val="333333"/>
          <w:sz w:val="22"/>
        </w:rPr>
        <w:t>Target Dataset: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Real Estate House Price Prediction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estate_train.csv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</w:t>
      </w:r>
      <w:r>
        <w:br/>
      </w:r>
      <w:r>
        <w:rPr>
          <w:rFonts w:ascii="Helvetica" w:hAnsi="Helvetica" w:eastAsia="Helvetica"/>
          <w:b/>
          <w:i w:val="0"/>
          <w:color w:val="333333"/>
          <w:sz w:val="22"/>
        </w:rPr>
        <w:t>Trained Models: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Linear Regression, XGBoost Regressor, Random Forest Regressor </w:t>
      </w:r>
      <w:r>
        <w:rPr>
          <w:rFonts w:ascii="Helvetica" w:hAnsi="Helvetica" w:eastAsia="Helvetica"/>
          <w:b/>
          <w:i w:val="0"/>
          <w:color w:val="333333"/>
          <w:sz w:val="22"/>
        </w:rPr>
        <w:t>Artifact Link:</w:t>
      </w:r>
      <w:r>
        <w:rPr>
          <w:rFonts w:ascii="Helvetica" w:hAnsi="Helvetica" w:eastAsia="Helvetica"/>
          <w:b w:val="0"/>
          <w:i w:val="0"/>
          <w:color w:val="0000FF"/>
          <w:sz w:val="22"/>
          <w:u w:val="single"/>
        </w:rPr>
        <w:t xml:space="preserve">submission.csv </w:t>
      </w:r>
      <w:r>
        <w:br/>
      </w:r>
      <w:r>
        <w:rPr>
          <w:rFonts w:ascii="Helvetica" w:hAnsi="Helvetica" w:eastAsia="Helvetica"/>
          <w:b/>
          <w:i w:val="0"/>
          <w:color w:val="333333"/>
          <w:sz w:val="22"/>
        </w:rPr>
        <w:t>Application Code:</w:t>
      </w:r>
      <w:r>
        <w:rPr>
          <w:rFonts w:ascii="Helvetica" w:hAnsi="Helvetica" w:eastAsia="Helvetica"/>
          <w:b w:val="0"/>
          <w:i w:val="0"/>
          <w:color w:val="0000FF"/>
          <w:sz w:val="22"/>
          <w:u w:val="single"/>
        </w:rPr>
        <w:t>app.py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| </w:t>
      </w:r>
      <w:r>
        <w:rPr>
          <w:rFonts w:ascii="Helvetica" w:hAnsi="Helvetica" w:eastAsia="Helvetica"/>
          <w:b w:val="0"/>
          <w:i w:val="0"/>
          <w:color w:val="0000FF"/>
          <w:sz w:val="22"/>
          <w:u w:val="single"/>
        </w:rPr>
        <w:t>templates/index.html</w:t>
      </w:r>
    </w:p>
    <w:p>
      <w:pPr>
        <w:autoSpaceDN w:val="0"/>
        <w:autoSpaceDE w:val="0"/>
        <w:widowControl/>
        <w:spacing w:line="480" w:lineRule="exact" w:before="994" w:after="0"/>
        <w:ind w:left="36" w:right="864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 xml:space="preserve">Section A: Computational Intelligence vs Traditional Artificial </w:t>
      </w:r>
      <w:r>
        <w:rPr>
          <w:rFonts w:ascii="Helvetica" w:hAnsi="Helvetica" w:eastAsia="Helvetica"/>
          <w:b/>
          <w:i w:val="0"/>
          <w:color w:val="1F3A52"/>
          <w:sz w:val="30"/>
        </w:rPr>
        <w:t>Intelligence (10 Marks)</w:t>
      </w:r>
    </w:p>
    <w:p>
      <w:pPr>
        <w:autoSpaceDN w:val="0"/>
        <w:autoSpaceDE w:val="0"/>
        <w:widowControl/>
        <w:spacing w:line="330" w:lineRule="exact" w:before="528" w:after="0"/>
        <w:ind w:left="36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Introduction to Artificial Intelligence Paradigms</w:t>
      </w:r>
    </w:p>
    <w:p>
      <w:pPr>
        <w:autoSpaceDN w:val="0"/>
        <w:autoSpaceDE w:val="0"/>
        <w:widowControl/>
        <w:spacing w:line="352" w:lineRule="exact" w:before="270" w:after="0"/>
        <w:ind w:left="36" w:right="74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Artificial Intelligence (AI) as a scientific discipline seeks to create computational systems that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exhibit cognitive behaviors analogous to human intelligence (Russell and Norvig 2020).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Historically, the pursuit of AI has bifurcated into two primary paradigms: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Traditional Artificial </w:t>
      </w:r>
      <w:r>
        <w:rPr>
          <w:rFonts w:ascii="Helvetica" w:hAnsi="Helvetica" w:eastAsia="Helvetica"/>
          <w:b/>
          <w:i w:val="0"/>
          <w:color w:val="333333"/>
          <w:sz w:val="22"/>
        </w:rPr>
        <w:t>Intelligence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(also known as Symbolic AI, Hard AI, or Good Old-Fashioned AI - GOFAI) and </w:t>
      </w:r>
      <w:r>
        <w:rPr>
          <w:rFonts w:ascii="Helvetica" w:hAnsi="Helvetica" w:eastAsia="Helvetica"/>
          <w:b/>
          <w:i w:val="0"/>
          <w:color w:val="333333"/>
          <w:sz w:val="22"/>
        </w:rPr>
        <w:t>Computational Intelligence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(CI, often associated with Soft Computing or Connectionist AI). While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Traditional AI focuses on high-level cognitive functions through symbolic manipulation,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Computational Intelligence approaches problem-solving from a low-level, biologically-inspired,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data-driven perspective (Engelbrecht 2007).</w:t>
      </w:r>
    </w:p>
    <w:p>
      <w:pPr>
        <w:autoSpaceDN w:val="0"/>
        <w:autoSpaceDE w:val="0"/>
        <w:widowControl/>
        <w:spacing w:line="330" w:lineRule="exact" w:before="984" w:after="0"/>
        <w:ind w:left="36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Traditional Artificial Intelligence (Symbolic &amp; Expert Systems)</w:t>
      </w:r>
    </w:p>
    <w:p>
      <w:pPr>
        <w:autoSpaceDN w:val="0"/>
        <w:autoSpaceDE w:val="0"/>
        <w:widowControl/>
        <w:spacing w:line="352" w:lineRule="exact" w:before="270" w:after="0"/>
        <w:ind w:left="36" w:right="74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Traditional AI is characterized by a "top-down" conceptual framework. It operates on the physical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symbol system hypothesis, which posits that symbolic processing is necessary and sufficient for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general intelligent action (Newell and Simon 1976).</w:t>
      </w:r>
    </w:p>
    <w:p>
      <w:pPr>
        <w:autoSpaceDN w:val="0"/>
        <w:tabs>
          <w:tab w:pos="666" w:val="left"/>
        </w:tabs>
        <w:autoSpaceDE w:val="0"/>
        <w:widowControl/>
        <w:spacing w:line="352" w:lineRule="exact" w:before="304" w:after="0"/>
        <w:ind w:left="336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Core Tenets and Mechanisms: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Traditional AI models human reasoning by explicitly coding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rules and knowledge. The core mechanism involves a </w:t>
      </w:r>
      <w:r>
        <w:rPr>
          <w:rFonts w:ascii="Helvetica" w:hAnsi="Helvetica" w:eastAsia="Helvetica"/>
          <w:b/>
          <w:i w:val="0"/>
          <w:color w:val="333333"/>
          <w:sz w:val="22"/>
        </w:rPr>
        <w:t>Knowledge Base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(a repository of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facts and rule-based logic, typically represented as IF-THEN structures) and an </w:t>
      </w:r>
      <w:r>
        <w:rPr>
          <w:rFonts w:ascii="Helvetica" w:hAnsi="Helvetica" w:eastAsia="Helvetica"/>
          <w:b/>
          <w:i w:val="0"/>
          <w:color w:val="333333"/>
          <w:sz w:val="22"/>
        </w:rPr>
        <w:t>Inference</w:t>
      </w:r>
    </w:p>
    <w:p>
      <w:pPr>
        <w:sectPr>
          <w:pgSz w:w="11906" w:h="16838"/>
          <w:pgMar w:top="648" w:right="1080" w:bottom="944" w:left="111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328" w:lineRule="exact" w:before="0" w:after="0"/>
        <w:ind w:left="660" w:right="864" w:firstLine="0"/>
        <w:jc w:val="left"/>
      </w:pPr>
      <w:r>
        <w:rPr>
          <w:rFonts w:ascii="Helvetica" w:hAnsi="Helvetica" w:eastAsia="Helvetica"/>
          <w:b/>
          <w:i w:val="0"/>
          <w:color w:val="333333"/>
          <w:sz w:val="22"/>
        </w:rPr>
        <w:t xml:space="preserve">Engine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(which applies logical rules using deductive reasoning mechanisms such as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forward-chaining or backward-chaining).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Strengths: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Because reasoning is representational and rule-based, symbolic systems are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highly deterministic and explainable. The logic path leading to a specific decision can be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fully traced and audited, making it highly effective in closed, deterministic, and highly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structured environments (e.g., mathematical theorem proving, tax calculators, and chess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engines).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Critical Limitations: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Symbolic systems exhibit extreme brittleness (McCarthy 1990). They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require absolute certainty and structured inputs; they lack the capacity to process noisy,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ambiguous, or incomplete real-world data. Furthermore, they suffer from the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"Knowledge 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Acquisition Bottleneck"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—the practical impossibility of manually coding every potential rule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in complex, dynamically changing environments.</w:t>
      </w:r>
    </w:p>
    <w:p>
      <w:pPr>
        <w:autoSpaceDN w:val="0"/>
        <w:autoSpaceDE w:val="0"/>
        <w:widowControl/>
        <w:spacing w:line="332" w:lineRule="exact" w:before="135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 Computational Intelligence (CI)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 contrast, Computational Intelligence (CI) utilizes a "bottom-up" approach, focusing on adaptive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mechanisms that learn from raw data or interactive environments. Bezdek (1994) famously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distinguished CI from traditional AI by stating that a system is computationally intelligent when it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begins to process low-level numeric pattern data, incorporates learning and adaptation,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avoids rigid symbolic representation.</w:t>
      </w:r>
    </w:p>
    <w:p>
      <w:pPr>
        <w:autoSpaceDN w:val="0"/>
        <w:autoSpaceDE w:val="0"/>
        <w:widowControl/>
        <w:spacing w:line="352" w:lineRule="exact" w:before="304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primary pillars of Computational Intelligence include: 1.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Artificial Neural Networks (ANNs):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Connectionist models inspired by biological nervous systems. They consist of layers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interconnected nodes (neurons) that adjust their synaptic weights via training algorithms (e.g.,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backpropagation) to approximate complex, highly non-linear functions (Rumelhart, Hinton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Williams 1986). 2. </w:t>
      </w:r>
      <w:r>
        <w:rPr>
          <w:rFonts w:ascii="Helvetica" w:hAnsi="Helvetica" w:eastAsia="Helvetica"/>
          <w:b/>
          <w:i w:val="0"/>
          <w:color w:val="333333"/>
          <w:sz w:val="22"/>
        </w:rPr>
        <w:t>Evolutionary Computation (EC):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Optimization and search paradigms inspired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by biological evolution and genetics (e.g., Genetic Algorithms). They generate optimal solutions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through iterative generation, selection, crossover, and mutation (Holland 1992). 3.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Fuzzy Logic </w:t>
      </w:r>
      <w:r>
        <w:rPr>
          <w:rFonts w:ascii="Helvetica" w:hAnsi="Helvetica" w:eastAsia="Helvetica"/>
          <w:b/>
          <w:i w:val="0"/>
          <w:color w:val="333333"/>
          <w:sz w:val="22"/>
        </w:rPr>
        <w:t>Systems (FLS):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 mathematical framework designed to process "approximate" rather than "exact"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reasoning. Unlike binary Boolean logic, fuzzy logic maps membership inputs to continuous truth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values between 0 and 1, simulating human decision-making under uncertainty (Zadeh 1965).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4. Comparative Evaluation: Traditional AI vs. Computational Intelligence</w:t>
      </w:r>
    </w:p>
    <w:p>
      <w:pPr>
        <w:sectPr>
          <w:pgSz w:w="11906" w:h="16838"/>
          <w:pgMar w:top="680" w:right="1104" w:bottom="1074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328" w:lineRule="exact" w:before="0" w:after="424"/>
        <w:ind w:left="28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fundamental differences between the two paradigms can be evaluated across several critical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operational dimensions: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114" w:type="dxa"/>
      </w:tblPr>
      <w:tblGrid>
        <w:gridCol w:w="3235"/>
        <w:gridCol w:w="3235"/>
        <w:gridCol w:w="3235"/>
      </w:tblGrid>
      <w:tr>
        <w:trPr>
          <w:trHeight w:hRule="exact" w:val="1088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8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Dimension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2" w:right="576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Traditional Artificial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Intelligence (Symbolic AI)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4" w:right="432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Computational Intelligence </w:t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(Soft Computing)</w:t>
            </w:r>
          </w:p>
        </w:tc>
      </w:tr>
      <w:tr>
        <w:trPr>
          <w:trHeight w:hRule="exact" w:val="1392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Logic &amp; Precision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2" w:right="288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Binary Boolean logic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(True/False; 0 or 1). Demands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high precision.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64" w:after="0"/>
              <w:ind w:left="23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Multi-valued fuzzy logic.</w:t>
            </w:r>
          </w:p>
          <w:p>
            <w:pPr>
              <w:autoSpaceDN w:val="0"/>
              <w:autoSpaceDE w:val="0"/>
              <w:widowControl/>
              <w:spacing w:line="304" w:lineRule="exact" w:before="0" w:after="0"/>
              <w:ind w:left="234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Tolerates imprecision, noise,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and approximation.</w:t>
            </w:r>
          </w:p>
        </w:tc>
      </w:tr>
      <w:tr>
        <w:trPr>
          <w:trHeight w:hRule="exact" w:val="1392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Reasoning Flow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126" w:after="0"/>
              <w:ind w:left="232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Top-Down: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 Deductive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reasoning from general rules to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specific cases (Deduction).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126" w:after="0"/>
              <w:ind w:left="234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Bottom-Up: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 Inductive learning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from specific data points to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general patterns (Induction).</w:t>
            </w:r>
          </w:p>
        </w:tc>
      </w:tr>
      <w:tr>
        <w:trPr>
          <w:trHeight w:hRule="exact" w:val="1392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Knowledge Origin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2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Manually engineered and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hard-coded by human domain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experts.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4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Learned dynamically and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autonomously from empirical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data.</w:t>
            </w:r>
          </w:p>
        </w:tc>
      </w:tr>
      <w:tr>
        <w:trPr>
          <w:trHeight w:hRule="exact" w:val="1392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Adaptability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2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Static. System rules must be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manually recoded to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accommodate changes.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4" w:right="288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Dynamic. Adapts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self-correctively through weight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adjustments or evolution.</w:t>
            </w:r>
          </w:p>
        </w:tc>
      </w:tr>
      <w:tr>
        <w:trPr>
          <w:trHeight w:hRule="exact" w:val="1392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Explainability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278" w:after="0"/>
              <w:ind w:left="232" w:right="432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White-Box: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 Decisions are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highly transparent and logical.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4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Black-Box: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 High mathematical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complexity makes feature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interactions difficult to audit.</w:t>
            </w:r>
          </w:p>
        </w:tc>
      </w:tr>
      <w:tr>
        <w:trPr>
          <w:trHeight w:hRule="exact" w:val="1696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622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Real-world Suitability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74" w:after="0"/>
              <w:ind w:left="232" w:right="288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Structured, rule-bound systems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(e.g., database management,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syntax parsing).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4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Uncertain, non-linear, spatial,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and noisy tasks (e.g., house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price forecasting, image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recognition).</w:t>
            </w:r>
          </w:p>
        </w:tc>
      </w:tr>
    </w:tbl>
    <w:p>
      <w:pPr>
        <w:autoSpaceDN w:val="0"/>
        <w:autoSpaceDE w:val="0"/>
        <w:widowControl/>
        <w:spacing w:line="304" w:lineRule="exact" w:before="264" w:after="0"/>
        <w:ind w:left="28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2"/>
        </w:rPr>
        <w:t>Suitability for Housing Price Forecasting</w:t>
      </w:r>
    </w:p>
    <w:p>
      <w:pPr>
        <w:autoSpaceDN w:val="0"/>
        <w:autoSpaceDE w:val="0"/>
        <w:widowControl/>
        <w:spacing w:line="352" w:lineRule="exact" w:before="258" w:after="0"/>
        <w:ind w:left="28" w:right="2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For the task of real estate valuation, traditional symbolic systems are highly deficient. Real estate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prices are governed by highly non-linear correlations, geographical coordinate interactions,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macro-economic volatility that cannot be expressed as manual IF-THEN rules. By utilizing a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Computational Intelligence approach (such as </w:t>
      </w:r>
      <w:r>
        <w:rPr>
          <w:rFonts w:ascii="Helvetica" w:hAnsi="Helvetica" w:eastAsia="Helvetica"/>
          <w:b/>
          <w:i w:val="0"/>
          <w:color w:val="333333"/>
          <w:sz w:val="22"/>
        </w:rPr>
        <w:t>XGBoost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or </w:t>
      </w:r>
      <w:r>
        <w:rPr>
          <w:rFonts w:ascii="Helvetica" w:hAnsi="Helvetica" w:eastAsia="Helvetica"/>
          <w:b/>
          <w:i w:val="0"/>
          <w:color w:val="333333"/>
          <w:sz w:val="22"/>
        </w:rPr>
        <w:t>Random Forest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ensembles), the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system can autonomously ingest spatial datasets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estate_train.csv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), model the complex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non-linear interaction of attributes (like mapping Latitude/Longitude coordinates onto prices), and</w:t>
      </w:r>
    </w:p>
    <w:p>
      <w:pPr>
        <w:sectPr>
          <w:pgSz w:w="11906" w:h="16838"/>
          <w:pgMar w:top="680" w:right="1074" w:bottom="850" w:left="112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304" w:lineRule="exact" w:before="0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generalize effectively to predict prices on unseen test cases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estate_test.csv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).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5. References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86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Bezdek, J.C., 1994. What is computational intelligence? </w:t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Computational Intelligence: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Imitating Life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pp.1-12.</w:t>
      </w:r>
    </w:p>
    <w:p>
      <w:pPr>
        <w:autoSpaceDN w:val="0"/>
        <w:tabs>
          <w:tab w:pos="660" w:val="left"/>
        </w:tabs>
        <w:autoSpaceDE w:val="0"/>
        <w:widowControl/>
        <w:spacing w:line="304" w:lineRule="exact" w:before="198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Engelbrecht, A.P., 2007. </w:t>
      </w:r>
      <w:r>
        <w:rPr>
          <w:rFonts w:ascii="Helvetica" w:hAnsi="Helvetica" w:eastAsia="Helvetica"/>
          <w:b w:val="0"/>
          <w:i/>
          <w:color w:val="333333"/>
          <w:sz w:val="22"/>
        </w:rPr>
        <w:t>Computational intelligence: an introduction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. John Wiley &amp; Sons.</w:t>
      </w:r>
    </w:p>
    <w:p>
      <w:pPr>
        <w:autoSpaceDN w:val="0"/>
        <w:tabs>
          <w:tab w:pos="660" w:val="left"/>
        </w:tabs>
        <w:autoSpaceDE w:val="0"/>
        <w:widowControl/>
        <w:spacing w:line="304" w:lineRule="exact" w:before="198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Holland, J.H., 1992. </w:t>
      </w:r>
      <w:r>
        <w:rPr>
          <w:rFonts w:ascii="Helvetica" w:hAnsi="Helvetica" w:eastAsia="Helvetica"/>
          <w:b w:val="0"/>
          <w:i/>
          <w:color w:val="333333"/>
          <w:sz w:val="22"/>
        </w:rPr>
        <w:t>Adaptation in natural and artificial systems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. MIT press.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McCarthy, J., 1990. Formalizing common sense. </w:t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Formalizing Common Sense: Papers by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John McCarthy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pp.93-116.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432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Newell, A. and Simon, H.A., 1976. Computer science as empirical inquiry: Symbols and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search. </w:t>
      </w:r>
      <w:r>
        <w:rPr>
          <w:rFonts w:ascii="Helvetica" w:hAnsi="Helvetica" w:eastAsia="Helvetica"/>
          <w:b w:val="0"/>
          <w:i/>
          <w:color w:val="333333"/>
          <w:sz w:val="22"/>
        </w:rPr>
        <w:t>Communications of the ACM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19(3), pp.113-126.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138"/>
        <w:ind w:left="330" w:right="72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Rumelhart, D.E., Hinton, G.E. and Williams, R.J., 1986. Learning representations by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back-propagating errors. </w:t>
      </w:r>
      <w:r>
        <w:rPr>
          <w:rFonts w:ascii="Helvetica" w:hAnsi="Helvetica" w:eastAsia="Helvetica"/>
          <w:b w:val="0"/>
          <w:i/>
          <w:color w:val="333333"/>
          <w:sz w:val="22"/>
        </w:rPr>
        <w:t>Nature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323(6088), pp.533-536.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39"/>
        <w:gridCol w:w="4839"/>
      </w:tblGrid>
      <w:tr>
        <w:trPr>
          <w:trHeight w:hRule="exact" w:val="1848"/>
        </w:trPr>
        <w:tc>
          <w:tcPr>
            <w:tcW w:type="dxa" w:w="51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4" w:lineRule="exact" w:before="0" w:after="0"/>
              <w:ind w:left="288" w:right="110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>•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>•</w:t>
            </w:r>
          </w:p>
        </w:tc>
        <w:tc>
          <w:tcPr>
            <w:tcW w:type="dxa" w:w="9142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4" w:lineRule="exact" w:before="0" w:after="0"/>
              <w:ind w:left="14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Russell, S. and Norvig, P., 2020. </w:t>
            </w:r>
            <w:r>
              <w:rPr>
                <w:rFonts w:ascii="Helvetica" w:hAnsi="Helvetica" w:eastAsia="Helvetica"/>
                <w:b w:val="0"/>
                <w:i/>
                <w:color w:val="333333"/>
                <w:sz w:val="22"/>
              </w:rPr>
              <w:t>Artificial intelligence: a modern approach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. 4th ed. Pearson.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Zadeh, L.A., 1965. Fuzzy sets. </w:t>
            </w:r>
            <w:r>
              <w:rPr>
                <w:rFonts w:ascii="Helvetica" w:hAnsi="Helvetica" w:eastAsia="Helvetica"/>
                <w:b w:val="0"/>
                <w:i/>
                <w:color w:val="333333"/>
                <w:sz w:val="22"/>
              </w:rPr>
              <w:t>Information and Control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>, 8(3), pp.338-353.</w:t>
            </w:r>
          </w:p>
        </w:tc>
      </w:tr>
    </w:tbl>
    <w:p>
      <w:pPr>
        <w:autoSpaceDN w:val="0"/>
        <w:autoSpaceDE w:val="0"/>
        <w:widowControl/>
        <w:spacing w:line="412" w:lineRule="exact" w:before="454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>Section B: Literature Review (20 Marks)</w:t>
      </w:r>
    </w:p>
    <w:p>
      <w:pPr>
        <w:autoSpaceDN w:val="0"/>
        <w:autoSpaceDE w:val="0"/>
        <w:widowControl/>
        <w:spacing w:line="332" w:lineRule="exact" w:before="528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Introduction to Real Estate Valuation Modeling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Real estate price forecasting constitutes a fundamental problem in computational economics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spatial analysis. The market value of residential properties is determined by a complex,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heterogeneous mixture of physical characteristics (e.g., number of rooms, bedrooms,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structural age), demographic parameters (e.g., neighborhood population and median income),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geographical coordinates (latitude and longitude) representing spatial attributes (Limsombunchao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2004). Historically, real estate mass appraisal has transitioned from rigid, parametric econometric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models to flexible, data-driven Computational Intelligence (CI) algorithms. This literature review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evaluates the historical development, methodological frameworks, strengths, and constraints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three dominant paradigms in valuation modeling: Hedonic Pricing Models (HPM), Tree-Based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Ensemble methods (Random Forest and GBDT/XGBoost), and Deep Learning architectures.</w:t>
      </w:r>
    </w:p>
    <w:p>
      <w:pPr>
        <w:sectPr>
          <w:pgSz w:w="11906" w:h="16838"/>
          <w:pgMar w:top="680" w:right="1104" w:bottom="960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4"/>
        <w:ind w:left="0" w:right="0"/>
      </w:pPr>
    </w:p>
    <w:p>
      <w:pPr>
        <w:autoSpaceDN w:val="0"/>
        <w:autoSpaceDE w:val="0"/>
        <w:widowControl/>
        <w:spacing w:line="332" w:lineRule="exact" w:before="384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Hedonic Price Modeling (Parametric Econometric Approaches)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theoretical foundation of modern real estate valuation originates from Rosen’s (1974) Hedonic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Pricing Model (HPM). Rosen posited that goods are valued for their utility-bearing characteristics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rather than the good itself. Consequently, the transaction price of a house can be modeled as a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function of its individual structural, neighborhood, and environmental attributes:</w:t>
      </w:r>
    </w:p>
    <w:p>
      <w:pPr>
        <w:autoSpaceDN w:val="0"/>
        <w:autoSpaceDE w:val="0"/>
        <w:widowControl/>
        <w:spacing w:line="304" w:lineRule="exact" w:before="352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$$P = f(S, N, E) + \epsilon$$</w:t>
      </w:r>
    </w:p>
    <w:p>
      <w:pPr>
        <w:autoSpaceDN w:val="0"/>
        <w:autoSpaceDE w:val="0"/>
        <w:widowControl/>
        <w:spacing w:line="352" w:lineRule="exact" w:before="304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Where $S$ represents structural features, $N$ represents neighborhood demographics, $E$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represents environmental/geographical indicators, and $\epsilon$ is the random error term.</w:t>
      </w:r>
    </w:p>
    <w:p>
      <w:pPr>
        <w:autoSpaceDN w:val="0"/>
        <w:autoSpaceDE w:val="0"/>
        <w:widowControl/>
        <w:spacing w:line="352" w:lineRule="exact" w:before="304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Traditionally, HPM is estimated using parametric techniques such as Ordinary Least Squares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(OLS) linear regression, Ridge regression, or Lasso regression (Malpezzi 2003). * </w:t>
      </w:r>
      <w:r>
        <w:rPr>
          <w:rFonts w:ascii="Helvetica" w:hAnsi="Helvetica" w:eastAsia="Helvetica"/>
          <w:b/>
          <w:i w:val="0"/>
          <w:color w:val="333333"/>
          <w:sz w:val="22"/>
        </w:rPr>
        <w:t>Strengths: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The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primary advantage of parametric HPM lies in its statistical transparency and interpretability. OLS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regression outputs explicit coefficients (beta weights) for each characteristic, enabling economists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and appraisers to measure the marginal contribution of individual features (e.g., the exact dollar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value increase associated with adding a bedroom) and perform hypothesis testing via t-statistics. * </w:t>
      </w:r>
      <w:r>
        <w:rPr>
          <w:rFonts w:ascii="Helvetica" w:hAnsi="Helvetica" w:eastAsia="Helvetica"/>
          <w:b/>
          <w:i w:val="0"/>
          <w:color w:val="333333"/>
          <w:sz w:val="22"/>
        </w:rPr>
        <w:t>Limitations and Critique: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Despite its widespread historical adoption, parametric HPM is severely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restricted by several theoretical assumptions. OLS assumes that the relationship between property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attributes and price is strictly linear or log-linear, which fails to capture complex non-linear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dynamics such as the accelerated depreciation of very old properties or diminishing returns on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total rooms (Basu and Thibodeau 1998). Furthermore, OLS is highly susceptible to </w:t>
      </w:r>
      <w:r>
        <w:rPr>
          <w:rFonts w:ascii="Helvetica" w:hAnsi="Helvetica" w:eastAsia="Helvetica"/>
          <w:b/>
          <w:i w:val="0"/>
          <w:color w:val="333333"/>
          <w:sz w:val="22"/>
        </w:rPr>
        <w:t>multicollinearity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(e.g., the high correlation between the number of rooms and bedrooms) and </w:t>
      </w:r>
      <w:r>
        <w:rPr>
          <w:rFonts w:ascii="Helvetica" w:hAnsi="Helvetica" w:eastAsia="Helvetica"/>
          <w:b/>
          <w:i w:val="0"/>
          <w:color w:val="333333"/>
          <w:sz w:val="22"/>
        </w:rPr>
        <w:t>spatial autocorrelation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where property values are geographically clustered, violating the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assumption of independent and identically distributed (i.i.d.) error terms (Fotheringham, Brunsdon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and Charlton 2002).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 Non-Parametric Machine Learning &amp; Tree-Based Ensembles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To address the limitations of parametric linearity, researchers have increasingly adopted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non-parametric machine learning models. Unlike HPM, non-parametric algorithms do not assume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 predefined mathematical form for the target function, allowing them to learn arbitrary decision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boundaries directly from empirical data.</w:t>
      </w:r>
    </w:p>
    <w:p>
      <w:pPr>
        <w:autoSpaceDN w:val="0"/>
        <w:autoSpaceDE w:val="0"/>
        <w:widowControl/>
        <w:spacing w:line="302" w:lineRule="exact" w:before="42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2"/>
        </w:rPr>
        <w:t>Random Forest Regressors (Bagging)</w:t>
      </w:r>
    </w:p>
    <w:p>
      <w:pPr>
        <w:sectPr>
          <w:pgSz w:w="11906" w:h="16838"/>
          <w:pgMar w:top="714" w:right="1104" w:bottom="1026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348" w:lineRule="exact" w:before="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Introduced by Breiman (2001), the Random Forest (RF) algorithm is an ensemble method that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constructs a multitude of decision trees during training. To output a prediction, RF averages the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outputs of individual trees (bootstrap aggregation, or bagging), while injecting randomness by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selecting a random subset of features at each split. * </w:t>
      </w:r>
      <w:r>
        <w:rPr>
          <w:rFonts w:ascii="Helvetica" w:hAnsi="Helvetica" w:eastAsia="Helvetica"/>
          <w:b/>
          <w:i w:val="0"/>
          <w:color w:val="333333"/>
          <w:sz w:val="22"/>
        </w:rPr>
        <w:t>Synthesis of Literature: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In comparative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studies of mass appraisal, Random Forest consistently outperforms linear OLS. Antipov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Pokryshevskaya (2012) demonstrated that RF handles spatial interactions and multicollinearity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natively without requiring complex variable transformations. Furthermore, because it averages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predictions across hundreds of independent trees, RF exhibits high robustness against overfitting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and is insensitive to outliers—a common occurrence in housing datasets containing luxury estates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or distressed properties.</w:t>
      </w:r>
    </w:p>
    <w:p>
      <w:pPr>
        <w:autoSpaceDN w:val="0"/>
        <w:autoSpaceDE w:val="0"/>
        <w:widowControl/>
        <w:spacing w:line="302" w:lineRule="exact" w:before="42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2"/>
        </w:rPr>
        <w:t>Gradient Boosting and XGBoost (Boosting)</w:t>
      </w:r>
    </w:p>
    <w:p>
      <w:pPr>
        <w:autoSpaceDN w:val="0"/>
        <w:autoSpaceDE w:val="0"/>
        <w:widowControl/>
        <w:spacing w:line="352" w:lineRule="exact" w:before="26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While Random Forest grows trees in parallel, Gradient Boosting Decision Trees (GBDT) build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trees sequentially. Each new tree is trained to predict the residuals (errors) of the preceding trees,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using gradient descent optimization to minimize a loss function (Friedman 2001). Chen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Guestrin (2016) optimized this paradigm by introducing </w:t>
      </w:r>
      <w:r>
        <w:rPr>
          <w:rFonts w:ascii="Helvetica" w:hAnsi="Helvetica" w:eastAsia="Helvetica"/>
          <w:b/>
          <w:i w:val="0"/>
          <w:color w:val="333333"/>
          <w:sz w:val="22"/>
        </w:rPr>
        <w:t>XGBoost (Extreme Gradient Boosting)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which incorporates a regularized objective function to control model complexity and prevent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overfitting, alongside parallelized tree construction. * </w:t>
      </w:r>
      <w:r>
        <w:rPr>
          <w:rFonts w:ascii="Helvetica" w:hAnsi="Helvetica" w:eastAsia="Helvetica"/>
          <w:b/>
          <w:i w:val="0"/>
          <w:color w:val="333333"/>
          <w:sz w:val="22"/>
        </w:rPr>
        <w:t>Synthesis of Literature: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GBDT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XGBoost have emerged as the state-of-the-art for tabular regression tasks. Mullainathan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Spiess (2017) highlighted that boosting algorithms excel at mapping complex coordinate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interactions (Latitude and Longitude) to local neighborhood values, representing a significant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improvement over traditional dummy variables for submarkets. The algorithm's built-in handling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missing values and computational efficiency make it highly suitable for production-level API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deployment.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4. Artificial Neural Networks (Connectionist Systems / Deep Learning)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Artificial Neural Networks (ANNs), particularly Multi-Layer Perceptrons (MLPs), represent another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prominent non-parametric paradigm. Drawing inspiration from biological neural pathways, ANNs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pass input features through multiple hidden layers of interconnected nodes where non-linear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activation functions (e.g., ReLU) are applied (Hornik, Stinchcombe and White 1989).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304" w:after="0"/>
        <w:ind w:left="33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Synthesis of Literature: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In real estate forecasting, ANNs act as universal function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approximators capable of modeling extremely intricate, high-dimensional interactions.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Limsombunchao (2004) compared OLS and ANNs on housing datasets and concluded that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connectionist approach achieves lower Root Mean Squared Error (RMSE) due to its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ability to model complex structural-spatial interactions.</w:t>
      </w:r>
    </w:p>
    <w:p>
      <w:pPr>
        <w:sectPr>
          <w:pgSz w:w="11906" w:h="16838"/>
          <w:pgMar w:top="680" w:right="1104" w:bottom="872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tabs>
          <w:tab w:pos="660" w:val="left"/>
        </w:tabs>
        <w:autoSpaceDE w:val="0"/>
        <w:widowControl/>
        <w:spacing w:line="328" w:lineRule="exact" w:before="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Limitations and Critique: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However, deep learning models present significant drawbacks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when applied to tabular datasets of moderate size (e.g., under 50,000 observations).</w:t>
      </w:r>
    </w:p>
    <w:p>
      <w:pPr>
        <w:autoSpaceDN w:val="0"/>
        <w:autoSpaceDE w:val="0"/>
        <w:widowControl/>
        <w:spacing w:line="352" w:lineRule="exact" w:before="0" w:after="0"/>
        <w:ind w:left="66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Grinsztajn, Oyallon and Varoquaux (2022) conducted extensive benchmarks comparing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deep learning architectures to tree ensembles on tabular data, finding that tree-based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models (like XGBoost and Random Forest) consistently outperform ANNs. Neural networks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are highly sensitive to hyperparameter choices, require extensive data normalization, are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computationally expensive to train, and suffer from a complete lack of interpretability (the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"black box" problem), making them less practical for real estate markets where </w:t>
      </w:r>
      <w:r>
        <w:br/>
      </w:r>
      <w:r>
        <w:rPr>
          <w:rFonts w:ascii="Helvetica" w:hAnsi="Helvetica" w:eastAsia="Helvetica"/>
          <w:b w:val="0"/>
          <w:i w:val="0"/>
          <w:color w:val="333333"/>
          <w:sz w:val="22"/>
        </w:rPr>
        <w:t>transparency is legally or socially required.</w:t>
      </w:r>
    </w:p>
    <w:p>
      <w:pPr>
        <w:autoSpaceDN w:val="0"/>
        <w:autoSpaceDE w:val="0"/>
        <w:widowControl/>
        <w:spacing w:line="332" w:lineRule="exact" w:before="135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5. Summary and Synthesis of Model Selection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Based on the literature review, the model selections for this project are justified as follows: 1. </w:t>
      </w:r>
      <w:r>
        <w:rPr>
          <w:rFonts w:ascii="Helvetica" w:hAnsi="Helvetica" w:eastAsia="Helvetica"/>
          <w:b/>
          <w:i w:val="0"/>
          <w:color w:val="333333"/>
          <w:sz w:val="22"/>
        </w:rPr>
        <w:t>Linear Regression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serves as the essential parametric baseline, representing traditional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econometric appraisal (HPM) to highlight the performance gains of non-parametric approaches. 2. </w:t>
      </w:r>
      <w:r>
        <w:rPr>
          <w:rFonts w:ascii="Helvetica" w:hAnsi="Helvetica" w:eastAsia="Helvetica"/>
          <w:b/>
          <w:i w:val="0"/>
          <w:color w:val="333333"/>
          <w:sz w:val="22"/>
        </w:rPr>
        <w:t>Random Forest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is selected as a robust bagging ensemble to handle structural multicollinearity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and outlier variance. 3. </w:t>
      </w:r>
      <w:r>
        <w:rPr>
          <w:rFonts w:ascii="Helvetica" w:hAnsi="Helvetica" w:eastAsia="Helvetica"/>
          <w:b/>
          <w:i w:val="0"/>
          <w:color w:val="333333"/>
          <w:sz w:val="22"/>
        </w:rPr>
        <w:t>XGBoost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represents the state-of-the-art regularized boosting paradigm,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selected for its superior predictive performance on tabular coordinate and demographic data.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6. References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Antipov, E.A. and Pokryshevskaya, E.B., 2012. Mass appraisal of residential apartments: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 application of Random Forest. </w:t>
      </w:r>
      <w:r>
        <w:rPr>
          <w:rFonts w:ascii="Helvetica" w:hAnsi="Helvetica" w:eastAsia="Helvetica"/>
          <w:b w:val="0"/>
          <w:i/>
          <w:color w:val="333333"/>
          <w:sz w:val="22"/>
        </w:rPr>
        <w:t>International Journal of Housing Markets and Analysis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5(2), pp.126-139.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Basu, S. and Thibodeau, T.G., 1998. Analysis of spatial autocorrelation in house prices. </w:t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The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Journal of Real Estate Finance and Economics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17(1), pp.61-85.</w:t>
      </w:r>
    </w:p>
    <w:p>
      <w:pPr>
        <w:autoSpaceDN w:val="0"/>
        <w:tabs>
          <w:tab w:pos="660" w:val="left"/>
        </w:tabs>
        <w:autoSpaceDE w:val="0"/>
        <w:widowControl/>
        <w:spacing w:line="304" w:lineRule="exact" w:before="198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Breiman, L., 2001. Random forests. </w:t>
      </w:r>
      <w:r>
        <w:rPr>
          <w:rFonts w:ascii="Helvetica" w:hAnsi="Helvetica" w:eastAsia="Helvetica"/>
          <w:b w:val="0"/>
          <w:i/>
          <w:color w:val="333333"/>
          <w:sz w:val="22"/>
        </w:rPr>
        <w:t>Machine Learning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45(1), pp.5-32.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Chen, T. and Guestrin, C., 2016. Xgboost: A scalable tree boosting system. </w:t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Proceedings of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the 22nd ACM SIGKDD International Conference on Knowledge Discovery and Data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Mining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pp.785-794.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86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Fotheringham, A.S., Brunsdon, C. and Charlton, M., 2002. </w:t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Geographically weighted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regression: the analysis of spatially varying relationships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. John Wiley &amp; Sons.</w:t>
      </w:r>
    </w:p>
    <w:p>
      <w:pPr>
        <w:sectPr>
          <w:pgSz w:w="11906" w:h="16838"/>
          <w:pgMar w:top="680" w:right="1104" w:bottom="1166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tabs>
          <w:tab w:pos="660" w:val="left"/>
        </w:tabs>
        <w:autoSpaceDE w:val="0"/>
        <w:widowControl/>
        <w:spacing w:line="328" w:lineRule="exact" w:before="0" w:after="0"/>
        <w:ind w:left="33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Friedman, J.H., 2001. Greedy function approximation: a gradient boosting machine. </w:t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Annals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of Statistics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pp.1189-1232.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576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Grinsztajn, L., Oyallon, E. and Varoquaux, G., 2022. Why do tree-based models still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outperform deep learning on tabular data? </w:t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Advances in Neural Information Processing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Systems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35, pp.507-520.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576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Hornik, K., Stinchcombe, M. and White, H., 1989. Multilayer feedforward networks are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universal approximators. </w:t>
      </w:r>
      <w:r>
        <w:rPr>
          <w:rFonts w:ascii="Helvetica" w:hAnsi="Helvetica" w:eastAsia="Helvetica"/>
          <w:b w:val="0"/>
          <w:i/>
          <w:color w:val="333333"/>
          <w:sz w:val="22"/>
        </w:rPr>
        <w:t>Neural Networks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2(5), pp.359-366.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Limsombunchao, V., 2004. House price prediction: hedonic price model vs. artificial neural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network. </w:t>
      </w:r>
      <w:r>
        <w:rPr>
          <w:rFonts w:ascii="Helvetica" w:hAnsi="Helvetica" w:eastAsia="Helvetica"/>
          <w:b w:val="0"/>
          <w:i/>
          <w:color w:val="333333"/>
          <w:sz w:val="22"/>
        </w:rPr>
        <w:t>New Zealand Agricultural and Resource Economics Society Conference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pp.25-26.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72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Malpezzi, S., 2003. Hedonic pricing models: a selective and applied review. </w:t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Housing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Economics and Public Policy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pp.67-89.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Mullainathan, S. and Spiess, J., 2017. Machine learning: an applied econometric approach.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Journal of Economic Perspectives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31(2), pp.87-106.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86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Rosen, S., 1974. Hedonic prices and implicit markets: product differentiation in pure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competition. </w:t>
      </w:r>
      <w:r>
        <w:rPr>
          <w:rFonts w:ascii="Helvetica" w:hAnsi="Helvetica" w:eastAsia="Helvetica"/>
          <w:b w:val="0"/>
          <w:i/>
          <w:color w:val="333333"/>
          <w:sz w:val="22"/>
        </w:rPr>
        <w:t>Journal of Political Economy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82(1), pp.34-55.</w:t>
      </w:r>
    </w:p>
    <w:p>
      <w:pPr>
        <w:autoSpaceDN w:val="0"/>
        <w:autoSpaceDE w:val="0"/>
        <w:widowControl/>
        <w:spacing w:line="480" w:lineRule="exact" w:before="1368" w:after="0"/>
        <w:ind w:left="30" w:right="432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 xml:space="preserve">Section C: Exploratory Data Analysis (EDA) and Model Influence </w:t>
      </w:r>
      <w:r>
        <w:rPr>
          <w:rFonts w:ascii="Helvetica" w:hAnsi="Helvetica" w:eastAsia="Helvetica"/>
          <w:b/>
          <w:i w:val="0"/>
          <w:color w:val="1F3A52"/>
          <w:sz w:val="30"/>
        </w:rPr>
        <w:t>(10 Marks)</w:t>
      </w:r>
    </w:p>
    <w:p>
      <w:pPr>
        <w:autoSpaceDN w:val="0"/>
        <w:autoSpaceDE w:val="0"/>
        <w:widowControl/>
        <w:spacing w:line="332" w:lineRule="exact" w:before="528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Missing Value and Outlier Analysis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432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Missing Values: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We dropped rows containing missing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PropertyAge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(1,313 rows in the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training set) to preserve quality. Features like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TotalBedrooms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had median imputation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applied.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Outliers: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IQR and 3-sigma calculations identified skewness in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AvgOccupancy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</w:t>
      </w:r>
      <w:r>
        <w:br/>
      </w:r>
      <w:r>
        <w:tab/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RoomsPerHousehold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. This influenced the decision to use a Robust Pipeline containing </w:t>
      </w:r>
      <w:r>
        <w:tab/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SimpleImputer(strategy='median')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StandardScaler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to normalize distributions before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feeding them to models.</w:t>
      </w:r>
    </w:p>
    <w:p>
      <w:pPr>
        <w:autoSpaceDN w:val="0"/>
        <w:autoSpaceDE w:val="0"/>
        <w:widowControl/>
        <w:spacing w:line="332" w:lineRule="exact" w:before="81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Feature Binning and Statistical Justification</w:t>
      </w:r>
    </w:p>
    <w:p>
      <w:pPr>
        <w:sectPr>
          <w:pgSz w:w="11906" w:h="16838"/>
          <w:pgMar w:top="680" w:right="1104" w:bottom="1114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tabs>
          <w:tab w:pos="660" w:val="left"/>
        </w:tabs>
        <w:autoSpaceDE w:val="0"/>
        <w:widowControl/>
        <w:spacing w:line="328" w:lineRule="exact" w:before="0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PropertyAge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was binned into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PropertyAge_bins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('New' &lt;= 15, 'Moderate' &lt;= 35, 'Old' &gt; 35)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to handle non-linear real estate depreciation.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ANOVA Test: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We ran an Analysis of Variance (ANOVA) test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f_oneway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to verify if the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binned age groups have statistically different mean target prices. The test resulted in a 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$p\text{-value} = 0.0000$ ($F\text{-statistic} \gg 1$)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confirming that binning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 xml:space="preserve">PropertyAge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was highly significant and statistically valid.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T-Test: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 T-test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ttest_ind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between 'New' and 'Old' properties confirmed that new houses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have a significantly different price profile from old ones ($p = 0.0000$).</w:t>
      </w:r>
    </w:p>
    <w:p>
      <w:pPr>
        <w:autoSpaceDN w:val="0"/>
        <w:autoSpaceDE w:val="0"/>
        <w:widowControl/>
        <w:spacing w:line="332" w:lineRule="exact" w:before="81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 Correlation Matrix Insights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432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IncomeLevel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showed a strong positive correlation ($r \approx 0.69$) with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TargetPrice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making it the single most predictive feature.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Latitude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Longitude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showed complex spatial distributions, indicating that location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coordinates interact with Demographic parameters, calling for ensemble models that handle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multi-dimensional thresholds.</w:t>
      </w:r>
    </w:p>
    <w:p>
      <w:pPr>
        <w:autoSpaceDN w:val="0"/>
        <w:autoSpaceDE w:val="0"/>
        <w:widowControl/>
        <w:spacing w:line="412" w:lineRule="exact" w:before="143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>Section D: System Architecture (10 Marks)</w:t>
      </w:r>
    </w:p>
    <w:p>
      <w:pPr>
        <w:autoSpaceDN w:val="0"/>
        <w:autoSpaceDE w:val="0"/>
        <w:widowControl/>
        <w:spacing w:line="332" w:lineRule="exact" w:before="528" w:after="338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Processing Pipeline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9678"/>
      </w:tblGrid>
      <w:tr>
        <w:trPr>
          <w:trHeight w:hRule="exact" w:val="3068"/>
        </w:trPr>
        <w:tc>
          <w:tcPr>
            <w:tcW w:type="dxa" w:w="963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34" w:after="0"/>
              <w:ind w:left="156" w:right="144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graph TD A[estate_train.csv / Raw Data] --&gt; B[Data Cleaning: Drop ID, Drop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PropertyAge NaNs] B --&gt; C[Feature Engineering: PropertyAge Binning] C --&gt;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D[ColumnTransformer Preprocessing: Imputation + StandardScaler + OrdinalEncoder]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D --&gt; E[Train-Test Split 80/20] E --&gt; F[GridSearchCV Hyperparameter Tuning] F --&gt;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G[Linear, RF, and XGBoost Best Estimators] G --&gt; H[Model Serialization: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joblib.dump] H --&gt; I[Flask Web Server: app.py] J[estate_test.csv] --&gt; K[Impute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Test Age via Train Median] K --&gt; L[Test set Binning] L --&gt; M[Fitted Preprocessor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Transform] M --&gt; N[Predict TargetPrice using Saved XGBoost Model] N --&gt;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>O[submission.csv]</w:t>
            </w:r>
          </w:p>
        </w:tc>
      </w:tr>
    </w:tbl>
    <w:p>
      <w:pPr>
        <w:autoSpaceDN w:val="0"/>
        <w:autoSpaceDE w:val="0"/>
        <w:widowControl/>
        <w:spacing w:line="332" w:lineRule="exact" w:before="28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Model Selection Justification</w:t>
      </w:r>
    </w:p>
    <w:p>
      <w:pPr>
        <w:sectPr>
          <w:pgSz w:w="11906" w:h="16838"/>
          <w:pgMar w:top="680" w:right="1104" w:bottom="1218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tabs>
          <w:tab w:pos="660" w:val="left"/>
        </w:tabs>
        <w:autoSpaceDE w:val="0"/>
        <w:widowControl/>
        <w:spacing w:line="328" w:lineRule="exact" w:before="0" w:after="0"/>
        <w:ind w:left="330" w:right="576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Linear Regression: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Baseline regression model, fast and simple but restricted to linear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relationships.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Random Forest: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Averages many independent decision trees. By introducing randomness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during tree splitting, it reduces variance, increases stability, and provides robust predictions.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XGBoost: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 powerful gradient boosted decision trees algorithm. It trains trees sequentially,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where each tree corrects errors of the previous ones. It is highly optimized, handles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complex non-linear relationships, and achieves outstanding accuracy.</w:t>
      </w:r>
    </w:p>
    <w:p>
      <w:pPr>
        <w:autoSpaceDN w:val="0"/>
        <w:autoSpaceDE w:val="0"/>
        <w:widowControl/>
        <w:spacing w:line="412" w:lineRule="exact" w:before="143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>Section E: Full Model Evaluation &amp; Implementation (40 Marks)</w:t>
      </w:r>
    </w:p>
    <w:p>
      <w:pPr>
        <w:autoSpaceDN w:val="0"/>
        <w:autoSpaceDE w:val="0"/>
        <w:widowControl/>
        <w:spacing w:line="332" w:lineRule="exact" w:before="528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Performance Results (Test Set)</w:t>
      </w:r>
    </w:p>
    <w:p>
      <w:pPr>
        <w:autoSpaceDN w:val="0"/>
        <w:autoSpaceDE w:val="0"/>
        <w:widowControl/>
        <w:spacing w:line="352" w:lineRule="exact" w:before="270" w:after="424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models were trained using 6-fold cross-validation on the training set and evaluated on the test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set: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936"/>
        <w:gridCol w:w="1936"/>
        <w:gridCol w:w="1936"/>
        <w:gridCol w:w="1936"/>
        <w:gridCol w:w="1936"/>
      </w:tblGrid>
      <w:tr>
        <w:trPr>
          <w:trHeight w:hRule="exact" w:val="1392"/>
        </w:trPr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Model</w:t>
            </w:r>
          </w:p>
        </w:tc>
        <w:tc>
          <w:tcPr>
            <w:tcW w:type="dxa" w:w="1930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76" w:after="0"/>
              <w:ind w:left="234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Tuning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Hyperparameters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$R^2$ Score</w:t>
            </w:r>
          </w:p>
        </w:tc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0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Root Mean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Squared Error </w:t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(RMSE)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76" w:after="0"/>
              <w:ind w:left="232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Mean Absolute </w:t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Error (MAE)</w:t>
            </w:r>
          </w:p>
        </w:tc>
      </w:tr>
      <w:tr>
        <w:trPr>
          <w:trHeight w:hRule="exact" w:val="1088"/>
        </w:trPr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2" w:right="576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 xml:space="preserve">Linear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Regression</w:t>
            </w:r>
          </w:p>
        </w:tc>
        <w:tc>
          <w:tcPr>
            <w:tcW w:type="dxa" w:w="1930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6" w:after="0"/>
              <w:ind w:left="23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None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6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0.6521</w:t>
            </w:r>
          </w:p>
        </w:tc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6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0.6693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6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0.4805</w:t>
            </w:r>
          </w:p>
        </w:tc>
      </w:tr>
      <w:tr>
        <w:trPr>
          <w:trHeight w:hRule="exact" w:val="2000"/>
        </w:trPr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Random Forest</w:t>
            </w:r>
          </w:p>
        </w:tc>
        <w:tc>
          <w:tcPr>
            <w:tcW w:type="dxa" w:w="1930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4" w:right="0" w:firstLine="0"/>
              <w:jc w:val="left"/>
            </w:pP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n_estimators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200, </w:t>
            </w:r>
            <w:r>
              <w:br/>
            </w: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max_depth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12, </w:t>
            </w:r>
            <w:r>
              <w:br/>
            </w: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min_samples_leaf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2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30" w:val="left"/>
              </w:tabs>
              <w:autoSpaceDE w:val="0"/>
              <w:widowControl/>
              <w:spacing w:line="306" w:lineRule="exact" w:before="728" w:after="0"/>
              <w:ind w:left="14" w:right="1008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0.7854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>f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:</w:t>
            </w:r>
          </w:p>
        </w:tc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2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0.5257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2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0.3522</w:t>
            </w:r>
          </w:p>
        </w:tc>
      </w:tr>
      <w:tr>
        <w:trPr>
          <w:trHeight w:hRule="exact" w:val="1980"/>
        </w:trPr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XGBoost</w:t>
            </w:r>
          </w:p>
        </w:tc>
        <w:tc>
          <w:tcPr>
            <w:tcW w:type="dxa" w:w="1930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4" w:right="144" w:firstLine="0"/>
              <w:jc w:val="left"/>
            </w:pP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n_estimators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200, </w:t>
            </w:r>
            <w:r>
              <w:br/>
            </w: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max_depth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6, </w:t>
            </w:r>
            <w:r>
              <w:br/>
            </w: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learning_rate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0.1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0.8256</w:t>
            </w:r>
          </w:p>
        </w:tc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0.4739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0.3124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680" w:right="1104" w:bottom="1080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6"/>
        <w:ind w:left="0" w:right="0"/>
      </w:pPr>
    </w:p>
    <w:p>
      <w:pPr>
        <w:autoSpaceDN w:val="0"/>
        <w:autoSpaceDE w:val="0"/>
        <w:widowControl/>
        <w:spacing w:line="332" w:lineRule="exact" w:before="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Web Application Setup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72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Backend (</w:t>
      </w:r>
      <w:r>
        <w:rPr>
          <w:shd w:val="clear" w:color="auto" w:fill="f4f4f4"/>
          <w:rFonts w:ascii="Courier" w:hAnsi="Courier" w:eastAsia="Courier"/>
          <w:b/>
          <w:i w:val="0"/>
          <w:color w:val="333333"/>
          <w:sz w:val="19"/>
        </w:rPr>
        <w:t>app.py</w:t>
      </w:r>
      <w:r>
        <w:rPr>
          <w:rFonts w:ascii="Helvetica" w:hAnsi="Helvetica" w:eastAsia="Helvetica"/>
          <w:b/>
          <w:i w:val="0"/>
          <w:color w:val="333333"/>
          <w:sz w:val="22"/>
        </w:rPr>
        <w:t>):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Utilizes Flask. Loads serialized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preprocessor.joblib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</w:t>
      </w:r>
      <w:r>
        <w:br/>
      </w:r>
      <w:r>
        <w:tab/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linear_regression_model.joblib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xgboost_model.joblib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and </w:t>
      </w:r>
      <w:r>
        <w:br/>
      </w:r>
      <w:r>
        <w:tab/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random_forest_model.joblib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on startup. Serves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/predict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endpoint returning JSON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predictions.</w:t>
      </w:r>
    </w:p>
    <w:p>
      <w:pPr>
        <w:autoSpaceDN w:val="0"/>
        <w:autoSpaceDE w:val="0"/>
        <w:widowControl/>
        <w:spacing w:line="344" w:lineRule="exact" w:before="166" w:after="0"/>
        <w:ind w:left="660" w:right="288" w:firstLine="0"/>
        <w:jc w:val="left"/>
      </w:pPr>
      <w:r>
        <w:rPr>
          <w:rFonts w:ascii="Helvetica" w:hAnsi="Helvetica" w:eastAsia="Helvetica"/>
          <w:b/>
          <w:i w:val="0"/>
          <w:color w:val="333333"/>
          <w:sz w:val="22"/>
        </w:rPr>
        <w:t>Frontend (</w:t>
      </w:r>
      <w:r>
        <w:rPr>
          <w:shd w:val="clear" w:color="auto" w:fill="f4f4f4"/>
          <w:rFonts w:ascii="Courier" w:hAnsi="Courier" w:eastAsia="Courier"/>
          <w:b/>
          <w:i w:val="0"/>
          <w:color w:val="333333"/>
          <w:sz w:val="19"/>
        </w:rPr>
        <w:t>templates/index.html</w:t>
      </w:r>
      <w:r>
        <w:rPr>
          <w:rFonts w:ascii="Helvetica" w:hAnsi="Helvetica" w:eastAsia="Helvetica"/>
          <w:b/>
          <w:i w:val="0"/>
          <w:color w:val="333333"/>
          <w:sz w:val="22"/>
        </w:rPr>
        <w:t>):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Glassmorphic web panel with Outfit typography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dynamic dark mode sliders for all 10 features:</w:t>
      </w:r>
    </w:p>
    <w:p>
      <w:pPr>
        <w:autoSpaceDN w:val="0"/>
        <w:tabs>
          <w:tab w:pos="990" w:val="left"/>
        </w:tabs>
        <w:autoSpaceDE w:val="0"/>
        <w:widowControl/>
        <w:spacing w:line="352" w:lineRule="exact" w:before="150" w:after="0"/>
        <w:ind w:left="66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Direct sliders: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IncomeLevel, PropertyAge, TotalRooms, TotalBedrooms, AvgOccupancy,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RoomsPerHousehold, BedroomsRatio.</w:t>
      </w:r>
    </w:p>
    <w:p>
      <w:pPr>
        <w:autoSpaceDN w:val="0"/>
        <w:tabs>
          <w:tab w:pos="990" w:val="left"/>
        </w:tabs>
        <w:autoSpaceDE w:val="0"/>
        <w:widowControl/>
        <w:spacing w:line="304" w:lineRule="exact" w:before="198" w:after="0"/>
        <w:ind w:left="66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Direct inputs: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NeighborhoodPop, Latitude, Longitude.</w:t>
      </w:r>
    </w:p>
    <w:p>
      <w:pPr>
        <w:autoSpaceDN w:val="0"/>
        <w:tabs>
          <w:tab w:pos="990" w:val="left"/>
        </w:tabs>
        <w:autoSpaceDE w:val="0"/>
        <w:widowControl/>
        <w:spacing w:line="352" w:lineRule="exact" w:before="150" w:after="0"/>
        <w:ind w:left="660" w:right="86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Live updates are sent asynchronously to the backend on slider adjust, updating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predicted prices dynamically with a neon green layout.</w:t>
      </w:r>
    </w:p>
    <w:p>
      <w:pPr>
        <w:autoSpaceDN w:val="0"/>
        <w:autoSpaceDE w:val="0"/>
        <w:widowControl/>
        <w:spacing w:line="412" w:lineRule="exact" w:before="170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>Section F: Critical Evaluation &amp; Limitations (10 Marks)</w:t>
      </w:r>
    </w:p>
    <w:p>
      <w:pPr>
        <w:autoSpaceDN w:val="0"/>
        <w:autoSpaceDE w:val="0"/>
        <w:widowControl/>
        <w:spacing w:line="332" w:lineRule="exact" w:before="528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Domain Suitability of the Model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Random Forest Regressor is highly suited for real estate valuation. It is robust to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outliers (which are common in real estate due to luxury housing spikes) and captures the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complex interactions between geographic coordinates and average occupancy.</w:t>
      </w:r>
    </w:p>
    <w:p>
      <w:pPr>
        <w:autoSpaceDN w:val="0"/>
        <w:autoSpaceDE w:val="0"/>
        <w:widowControl/>
        <w:spacing w:line="332" w:lineRule="exact" w:before="81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Suitability of Deep Learning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72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While Deep Learning (e.g. MLPs) can approximate the spatial price function, it is less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suitable here due to:</w:t>
      </w:r>
    </w:p>
    <w:p>
      <w:pPr>
        <w:autoSpaceDN w:val="0"/>
        <w:tabs>
          <w:tab w:pos="990" w:val="left"/>
        </w:tabs>
        <w:autoSpaceDE w:val="0"/>
        <w:widowControl/>
        <w:spacing w:line="352" w:lineRule="exact" w:before="150" w:after="0"/>
        <w:ind w:left="660" w:right="1152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Data scale: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Tabular dataset size (15k rows) is too small to train large network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parameters without massive overfitting.</w:t>
      </w:r>
    </w:p>
    <w:p>
      <w:pPr>
        <w:autoSpaceDN w:val="0"/>
        <w:tabs>
          <w:tab w:pos="990" w:val="left"/>
        </w:tabs>
        <w:autoSpaceDE w:val="0"/>
        <w:widowControl/>
        <w:spacing w:line="352" w:lineRule="exact" w:before="150" w:after="0"/>
        <w:ind w:left="66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Interpretability: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Real estate appraisers require structural rules (e.g., how the bedrooms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ratio impacts price) which are inspectable in tree splits but completely hidden in deep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neural weights.</w:t>
      </w:r>
    </w:p>
    <w:p>
      <w:pPr>
        <w:sectPr>
          <w:pgSz w:w="11906" w:h="16838"/>
          <w:pgMar w:top="676" w:right="1104" w:bottom="1116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6"/>
        <w:ind w:left="0" w:right="0"/>
      </w:pPr>
    </w:p>
    <w:p>
      <w:pPr>
        <w:autoSpaceDN w:val="0"/>
        <w:autoSpaceDE w:val="0"/>
        <w:widowControl/>
        <w:spacing w:line="332" w:lineRule="exact" w:before="0" w:after="0"/>
        <w:ind w:left="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 Limitations of the Current Approach</w:t>
      </w:r>
    </w:p>
    <w:p>
      <w:pPr>
        <w:autoSpaceDN w:val="0"/>
        <w:tabs>
          <w:tab w:pos="630" w:val="left"/>
        </w:tabs>
        <w:autoSpaceDE w:val="0"/>
        <w:widowControl/>
        <w:spacing w:line="352" w:lineRule="exact" w:before="170" w:after="0"/>
        <w:ind w:left="30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Temporal Shift: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The model does not include time metrics. Inflation, interest rates, and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seasonal spikes are completely ignored.</w:t>
      </w:r>
    </w:p>
    <w:p>
      <w:pPr>
        <w:autoSpaceDN w:val="0"/>
        <w:tabs>
          <w:tab w:pos="630" w:val="left"/>
        </w:tabs>
        <w:autoSpaceDE w:val="0"/>
        <w:widowControl/>
        <w:spacing w:line="352" w:lineRule="exact" w:before="150" w:after="0"/>
        <w:ind w:left="300" w:right="432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Geographical Constraints: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The model is bound to the coordinate boundaries of the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training dataset. It cannot predict prices for properties outside these geographical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boundaries.</w:t>
      </w:r>
    </w:p>
    <w:p>
      <w:pPr>
        <w:autoSpaceDN w:val="0"/>
        <w:autoSpaceDE w:val="0"/>
        <w:widowControl/>
        <w:spacing w:line="332" w:lineRule="exact" w:before="816" w:after="0"/>
        <w:ind w:left="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4. Future Suggestions</w:t>
      </w:r>
    </w:p>
    <w:p>
      <w:pPr>
        <w:autoSpaceDN w:val="0"/>
        <w:tabs>
          <w:tab w:pos="630" w:val="left"/>
        </w:tabs>
        <w:autoSpaceDE w:val="0"/>
        <w:widowControl/>
        <w:spacing w:line="352" w:lineRule="exact" w:before="170" w:after="0"/>
        <w:ind w:left="30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We successfully implemented XGBoost and improved the $R^2$ score to </w:t>
      </w:r>
      <w:r>
        <w:rPr>
          <w:rFonts w:ascii="Helvetica" w:hAnsi="Helvetica" w:eastAsia="Helvetica"/>
          <w:b/>
          <w:i w:val="0"/>
          <w:color w:val="333333"/>
          <w:sz w:val="22"/>
        </w:rPr>
        <w:t>0.8256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. Future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work could incorporate LightGBM to speed up training.</w:t>
      </w:r>
    </w:p>
    <w:p>
      <w:pPr>
        <w:autoSpaceDN w:val="0"/>
        <w:tabs>
          <w:tab w:pos="630" w:val="left"/>
        </w:tabs>
        <w:autoSpaceDE w:val="0"/>
        <w:widowControl/>
        <w:spacing w:line="352" w:lineRule="exact" w:before="150" w:after="0"/>
        <w:ind w:left="300" w:right="72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Incorporate SHAP (Shapley Additive exPlanations) values to provide local feature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contribution visualization in the web application UI.</w:t>
      </w:r>
    </w:p>
    <w:sectPr w:rsidR="00FC693F" w:rsidRPr="0006063C" w:rsidSect="00034616">
      <w:pgSz w:w="11906" w:h="16838"/>
      <w:pgMar w:top="676" w:right="1440" w:bottom="1440" w:left="1154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