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28"/>
        <w:ind w:left="0" w:right="0"/>
      </w:pPr>
    </w:p>
    <w:p>
      <w:pPr>
        <w:autoSpaceDN w:val="0"/>
        <w:autoSpaceDE w:val="0"/>
        <w:widowControl/>
        <w:spacing w:line="552" w:lineRule="exact" w:before="0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COMPREHENSIVE ASSESSMENT REPORT</w:t>
      </w:r>
    </w:p>
    <w:p>
      <w:pPr>
        <w:autoSpaceDN w:val="0"/>
        <w:autoSpaceDE w:val="0"/>
        <w:widowControl/>
        <w:spacing w:line="552" w:lineRule="exact" w:before="8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(DRAFT)</w:t>
      </w:r>
    </w:p>
    <w:p>
      <w:pPr>
        <w:autoSpaceDN w:val="0"/>
        <w:autoSpaceDE w:val="0"/>
        <w:widowControl/>
        <w:spacing w:line="352" w:lineRule="exact" w:before="448" w:after="0"/>
        <w:ind w:left="36" w:right="54" w:firstLine="0"/>
        <w:jc w:val="both"/>
      </w:pPr>
      <w:r>
        <w:rPr>
          <w:rFonts w:ascii="Helvetica" w:hAnsi="Helvetica" w:eastAsia="Helvetica"/>
          <w:b/>
          <w:i w:val="0"/>
          <w:color w:val="333333"/>
          <w:sz w:val="22"/>
        </w:rPr>
        <w:t>Module: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Computational Intelligence (CIS 6005) </w:t>
      </w:r>
      <w:r>
        <w:rPr>
          <w:rFonts w:ascii="Helvetica" w:hAnsi="Helvetica" w:eastAsia="Helvetica"/>
          <w:b/>
          <w:i w:val="0"/>
          <w:color w:val="333333"/>
          <w:sz w:val="22"/>
        </w:rPr>
        <w:t>Assessment: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WRIT1 - Deep Learning Plus AI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Mini Project </w:t>
      </w:r>
      <w:r>
        <w:rPr>
          <w:rFonts w:ascii="Helvetica" w:hAnsi="Helvetica" w:eastAsia="Helvetica"/>
          <w:b/>
          <w:i w:val="0"/>
          <w:color w:val="333333"/>
          <w:sz w:val="22"/>
        </w:rPr>
        <w:t>Target Dataset: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House Price Prediction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Trained </w:t>
      </w:r>
      <w:r>
        <w:rPr>
          <w:rFonts w:ascii="Helvetica" w:hAnsi="Helvetica" w:eastAsia="Helvetica"/>
          <w:b/>
          <w:i w:val="0"/>
          <w:color w:val="333333"/>
          <w:sz w:val="22"/>
        </w:rPr>
        <w:t>Models: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Linear Regression, XGBoost Regressor, Random Forest Regressor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Artifact Link: 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submission.csv</w:t>
      </w:r>
      <w:r>
        <w:rPr>
          <w:rFonts w:ascii="Helvetica" w:hAnsi="Helvetica" w:eastAsia="Helvetica"/>
          <w:b/>
          <w:i w:val="0"/>
          <w:color w:val="333333"/>
          <w:sz w:val="22"/>
        </w:rPr>
        <w:t>Application Code: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app.py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| 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templates/index.html</w:t>
      </w:r>
    </w:p>
    <w:p>
      <w:pPr>
        <w:autoSpaceDN w:val="0"/>
        <w:autoSpaceDE w:val="0"/>
        <w:widowControl/>
        <w:spacing w:line="480" w:lineRule="exact" w:before="994" w:after="0"/>
        <w:ind w:left="36" w:right="864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A: Computational Intelligence vs Traditional Artificial </w:t>
      </w:r>
      <w:r>
        <w:rPr>
          <w:rFonts w:ascii="Helvetica" w:hAnsi="Helvetica" w:eastAsia="Helvetica"/>
          <w:b/>
          <w:i w:val="0"/>
          <w:color w:val="1F3A52"/>
          <w:sz w:val="30"/>
        </w:rPr>
        <w:t>Intelligence (10 Marks)</w:t>
      </w:r>
    </w:p>
    <w:p>
      <w:pPr>
        <w:autoSpaceDN w:val="0"/>
        <w:autoSpaceDE w:val="0"/>
        <w:widowControl/>
        <w:spacing w:line="330" w:lineRule="exact" w:before="52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Artificial Intelligence Paradigms</w:t>
      </w:r>
    </w:p>
    <w:p>
      <w:pPr>
        <w:autoSpaceDN w:val="0"/>
        <w:autoSpaceDE w:val="0"/>
        <w:widowControl/>
        <w:spacing w:line="352" w:lineRule="exact" w:before="270" w:after="0"/>
        <w:ind w:left="36" w:right="5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Intelligence (AI) as a scientific discipline seeks to create computational systems that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exhibit cognitive behaviors analogous to human intelligence. Historically, the pursuit of AI has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bifurcated into two primary paradigms: </w:t>
      </w:r>
      <w:r>
        <w:rPr>
          <w:rFonts w:ascii="Helvetica" w:hAnsi="Helvetica" w:eastAsia="Helvetica"/>
          <w:b/>
          <w:i w:val="0"/>
          <w:color w:val="333333"/>
          <w:sz w:val="22"/>
        </w:rPr>
        <w:t>Traditional Artificial 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(also known 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Symbolic AI, Hard AI, or Good Old-Fashioned AI - GOFAI) and </w:t>
      </w:r>
      <w:r>
        <w:rPr>
          <w:rFonts w:ascii="Helvetica" w:hAnsi="Helvetica" w:eastAsia="Helvetica"/>
          <w:b/>
          <w:i w:val="0"/>
          <w:color w:val="333333"/>
          <w:sz w:val="22"/>
        </w:rPr>
        <w:t>Computational 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(CI,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often associated with Soft Computing or Connectionist AI). While Traditional AI focuses 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high-level cognitive functions through symbolic manipulation, Computational Intelligence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approaches problem-solving from a low-level, biologically-inspired, and data-driven perspective.</w:t>
      </w:r>
    </w:p>
    <w:p>
      <w:pPr>
        <w:autoSpaceDN w:val="0"/>
        <w:autoSpaceDE w:val="0"/>
        <w:widowControl/>
        <w:spacing w:line="330" w:lineRule="exact" w:before="984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Traditional Artificial Intelligence (Symbolic &amp; Expert Systems)</w:t>
      </w:r>
    </w:p>
    <w:p>
      <w:pPr>
        <w:autoSpaceDN w:val="0"/>
        <w:autoSpaceDE w:val="0"/>
        <w:widowControl/>
        <w:spacing w:line="352" w:lineRule="exact" w:before="270" w:after="0"/>
        <w:ind w:left="36" w:right="5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 AI is characterized by a "top-down" conceptual framework. It operates on the physical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symbol system hypothesis, which posits that symbolic processing is necessary and sufficient for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general intelligent action.</w:t>
      </w:r>
    </w:p>
    <w:p>
      <w:pPr>
        <w:autoSpaceDN w:val="0"/>
        <w:tabs>
          <w:tab w:pos="666" w:val="left"/>
        </w:tabs>
        <w:autoSpaceDE w:val="0"/>
        <w:widowControl/>
        <w:spacing w:line="352" w:lineRule="exact" w:before="304" w:after="0"/>
        <w:ind w:left="336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Core Tenets and Mechanisms: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Traditional AI models human reasoning by explicitly coding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rules and knowledge. The core mechanism involves a </w:t>
      </w:r>
      <w:r>
        <w:rPr>
          <w:rFonts w:ascii="Helvetica" w:hAnsi="Helvetica" w:eastAsia="Helvetica"/>
          <w:b/>
          <w:i w:val="0"/>
          <w:color w:val="333333"/>
          <w:sz w:val="22"/>
        </w:rPr>
        <w:t>Knowledge Base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 repository of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facts and rule-based logic, typically represented as IF-THEN structures) and an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Inference 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Engine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(which applies logical rules using deductive reasoning mechanisms such as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forward-chaining or backward-chaining).</w:t>
      </w:r>
    </w:p>
    <w:p>
      <w:pPr>
        <w:sectPr>
          <w:pgSz w:w="11906" w:h="16838"/>
          <w:pgMar w:top="648" w:right="1100" w:bottom="1122" w:left="11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42" w:lineRule="exact" w:before="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Because reasoning is representational and rule-based, symbolic systems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highly deterministic and explainable. The logic path leading to a specific decision can be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fully traced and audited, making it highly effective in closed, deterministic, and highly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structured environments (e.g., mathematical theorem proving, tax calculators, and chess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engines).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Critical Limitations: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Symbolic systems exhibit extreme brittleness. They require absolute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certainty and structured inputs; they lack the capacity to process noisy, ambiguous, or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incomplete real-world data. Furthermore, they suffer from the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"Knowledge Acquisition 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Bottleneck"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—the practical impossibility of manually coding every potential rule in complex,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dynamically changing environments.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Computational Intelligence (CI)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 contrast, Computational Intelligence (CI) utilizes a "bottom-up" approach, focusing on adaptive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mechanisms that learn from raw data or interactive environments. Bezdek famously distinguished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CI from traditional AI by stating that a system is computationally intelligent when it begins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process low-level numeric pattern data, incorporates learning and adaptation, and avoids rigid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symbolic representation.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primary pillars of Computational Intelligence include: 1.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Artificial Neural Networks (ANNs):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Connectionist models inspired by biological nervous systems. They consist of layers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interconnected nodes (neurons) that adjust their synaptic weights via training algorithms (e.g.,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backpropagation) to approximate complex, highly non-linear functions. 2.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Evolutionary </w:t>
      </w:r>
      <w:r>
        <w:rPr>
          <w:rFonts w:ascii="Helvetica" w:hAnsi="Helvetica" w:eastAsia="Helvetica"/>
          <w:b/>
          <w:i w:val="0"/>
          <w:color w:val="333333"/>
          <w:sz w:val="22"/>
        </w:rPr>
        <w:t>Computation (EC):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Optimization and search paradigms inspired by biological evolution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genetics (e.g., Genetic Algorithms). They generate optimal solutions through iterative generation,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selection, crossover, and mutation. 3. </w:t>
      </w:r>
      <w:r>
        <w:rPr>
          <w:rFonts w:ascii="Helvetica" w:hAnsi="Helvetica" w:eastAsia="Helvetica"/>
          <w:b/>
          <w:i w:val="0"/>
          <w:color w:val="333333"/>
          <w:sz w:val="22"/>
        </w:rPr>
        <w:t>Fuzzy Logic Systems (FLS):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mathematical framework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designed to process "approximate" rather than "exact" reasoning. Unlike binary Boolean logic,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fuzzy logic maps membership inputs to continuous truth values between 0 and 1, simulating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human decision-making under uncertainty.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Comparative Evaluation: Traditional AI vs. Computational Intelligence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fundamental differences between the two paradigms can be evaluated across several critical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operational dimensions:</w:t>
      </w:r>
    </w:p>
    <w:p>
      <w:pPr>
        <w:sectPr>
          <w:pgSz w:w="11906" w:h="16838"/>
          <w:pgMar w:top="680" w:right="1104" w:bottom="101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3226"/>
        <w:gridCol w:w="3226"/>
        <w:gridCol w:w="3226"/>
      </w:tblGrid>
      <w:tr>
        <w:trPr>
          <w:trHeight w:hRule="exact" w:val="1088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8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Dimension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Traditional Artificial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Intelligence (Symbolic AI)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Computational Intelligence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(Soft Computing)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Logic &amp; Precision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Binary Boolean logic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(True/False; 0 or 1). Demands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 precision.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16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Multi-valued fuzzy logic.</w:t>
            </w:r>
          </w:p>
          <w:p>
            <w:pPr>
              <w:autoSpaceDN w:val="0"/>
              <w:autoSpaceDE w:val="0"/>
              <w:widowControl/>
              <w:spacing w:line="304" w:lineRule="exact" w:before="0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Tolerates imprecision, noise,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and approximation.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Reasoning Flow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Top-Down: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Deductive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reasoning from general rules to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specific cases (Deduction).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Bottom-Up: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Inductive learning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from specific data points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general patterns (Induction).</w:t>
            </w:r>
          </w:p>
        </w:tc>
      </w:tr>
      <w:tr>
        <w:trPr>
          <w:trHeight w:hRule="exact" w:val="1394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Knowledge Origin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engineered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hard-coded by human domain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experts.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Learned dynamically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autonomously from empirical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data.</w:t>
            </w:r>
          </w:p>
        </w:tc>
      </w:tr>
      <w:tr>
        <w:trPr>
          <w:trHeight w:hRule="exact" w:val="1390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68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Adaptability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0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Static. System rules must be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recoded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accommodate changes.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0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Dynamic. Adapts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self-correctively through weight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adjustments or evolution.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Explainability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278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White-Box: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Decisions are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highly transparent and logical.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Black-Box: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High mathematical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complexity makes feature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interactions difficult to audit.</w:t>
            </w:r>
          </w:p>
        </w:tc>
      </w:tr>
      <w:tr>
        <w:trPr>
          <w:trHeight w:hRule="exact" w:val="1698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2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Real-world Suitability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4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Structured, rule-bound systems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(e.g., database management,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syntax parsing).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Uncertain, non-linear, spatial,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and noisy tasks (e.g., house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price forecasting, image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recognition).</w:t>
            </w:r>
          </w:p>
        </w:tc>
      </w:tr>
    </w:tbl>
    <w:p>
      <w:pPr>
        <w:autoSpaceDN w:val="0"/>
        <w:autoSpaceDE w:val="0"/>
        <w:widowControl/>
        <w:spacing w:line="302" w:lineRule="exact" w:before="26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Suitability for Housing Price Forecasting</w:t>
      </w:r>
    </w:p>
    <w:p>
      <w:pPr>
        <w:autoSpaceDN w:val="0"/>
        <w:autoSpaceDE w:val="0"/>
        <w:widowControl/>
        <w:spacing w:line="352" w:lineRule="exact" w:before="26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For the task of real estate valuation, traditional symbolic systems are highly deficient. Real estate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prices are governed by highly non-linear correlations, geographical coordinate interactions,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macro-economic volatility that cannot be expressed as manual IF-THEN rules. By utilizing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 Intelligence approach (such as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or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ensembles),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system can autonomously ingest spatial datasets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), model the complex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non-linear interaction of attributes (like mapping Latitude/Longitude coordinates onto prices),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generalize effectively to predict prices on unseen test cases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estate_test.csv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).</w:t>
      </w:r>
    </w:p>
    <w:p>
      <w:pPr>
        <w:sectPr>
          <w:pgSz w:w="11906" w:h="16838"/>
          <w:pgMar w:top="704" w:right="1104" w:bottom="88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6"/>
        <w:ind w:left="0" w:right="0"/>
      </w:pPr>
    </w:p>
    <w:p>
      <w:pPr>
        <w:autoSpaceDN w:val="0"/>
        <w:autoSpaceDE w:val="0"/>
        <w:widowControl/>
        <w:spacing w:line="41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B: Literature Review (20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Real Estate Valuation Modeling</w:t>
      </w:r>
    </w:p>
    <w:p>
      <w:pPr>
        <w:autoSpaceDN w:val="0"/>
        <w:autoSpaceDE w:val="0"/>
        <w:widowControl/>
        <w:spacing w:line="352" w:lineRule="exact" w:before="270" w:after="0"/>
        <w:ind w:left="30" w:right="8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Real estate price forecasting constitutes a fundamental problem in computational economics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spatial analysis. The market value of residential properties is determined by a complex,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heterogeneous mixture of physical characteristics (e.g., number of rooms, bedrooms,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structural age), demographic parameters (e.g., neighborhood population and median income),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geographical coordinates (latitude and longitude) representing spatial attributes. Historically, real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estate mass appraisal has transitioned from rigid, parametric econometric models to flexible,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data-driven Computational Intelligence (CI) algorithms. This literature review evaluates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historical development, methodological frameworks, strengths, and constraints of three dominant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paradigms in valuation modeling: Hedonic Pricing Models (HPM), Tree-Based Ensemble methods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(Random Forest and GBDT/XGBoost), and Deep Learning architectures.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Hedonic Price Modeling (Parametric Econometric Approaches)</w:t>
      </w:r>
    </w:p>
    <w:p>
      <w:pPr>
        <w:autoSpaceDN w:val="0"/>
        <w:autoSpaceDE w:val="0"/>
        <w:widowControl/>
        <w:spacing w:line="352" w:lineRule="exact" w:before="270" w:after="0"/>
        <w:ind w:left="30" w:right="8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theoretical foundation of modern real estate valuation originates from Rosen’s Hedonic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Pricing Model (HPM). Rosen posited that goods are valued for their utility-bearing characteristics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rather than the good itself. Consequently, the transaction price of a house can be modeled as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function of its individual structural, neighborhood, and environmental attributes:</w:t>
      </w:r>
    </w:p>
    <w:p>
      <w:pPr>
        <w:autoSpaceDN w:val="0"/>
        <w:autoSpaceDE w:val="0"/>
        <w:widowControl/>
        <w:spacing w:line="304" w:lineRule="exact" w:before="352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$$P = f(S, N, E) + \epsilon$$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Where $S$ represents structural features, $N$ represents neighborhood demographics, $E$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represents environmental/geographical indicators, and $\epsilon$ is the random error term.</w:t>
      </w:r>
    </w:p>
    <w:p>
      <w:pPr>
        <w:autoSpaceDN w:val="0"/>
        <w:autoSpaceDE w:val="0"/>
        <w:widowControl/>
        <w:spacing w:line="352" w:lineRule="exact" w:before="304" w:after="0"/>
        <w:ind w:left="30" w:right="2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Traditionally, HPM is estimated using parametric techniques such as Ordinary Least Squares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(OLS) linear regression, Ridge regression, or Lasso regression. * </w:t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primary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advantage of parametric HPM lies in its statistical transparency and interpretability. OLS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regression outputs explicit coefficients (beta weights) for each characteristic, enabling economists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appraisers to measure the marginal contribution of individual features (e.g., the exact dollar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value increase associated with adding a bedroom) and perform hypothesis testing via t-statistics. * </w:t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Despite its widespread historical adoption, parametric HPM is severely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restricted by several theoretical assumptions. OLS assumes that the relationship between property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attributes and price is strictly linear or log-linear, which fails to capture complex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dynamics such as the accelerated depreciation of very old properties or diminishing returns 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total rooms. Furthermore, OLS is highly susceptible to </w:t>
      </w:r>
      <w:r>
        <w:rPr>
          <w:rFonts w:ascii="Helvetica" w:hAnsi="Helvetica" w:eastAsia="Helvetica"/>
          <w:b/>
          <w:i w:val="0"/>
          <w:color w:val="333333"/>
          <w:sz w:val="22"/>
        </w:rPr>
        <w:t>multicollinearity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(e.g., the high correlation</w:t>
      </w:r>
    </w:p>
    <w:p>
      <w:pPr>
        <w:sectPr>
          <w:pgSz w:w="11906" w:h="16838"/>
          <w:pgMar w:top="666" w:right="1074" w:bottom="80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36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between the number of rooms and bedrooms) and </w:t>
      </w:r>
      <w:r>
        <w:rPr>
          <w:rFonts w:ascii="Helvetica" w:hAnsi="Helvetica" w:eastAsia="Helvetica"/>
          <w:b/>
          <w:i w:val="0"/>
          <w:color w:val="333333"/>
          <w:sz w:val="22"/>
        </w:rPr>
        <w:t>spatial autocorrelation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where property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values are geographically clustered, violating the assumption of independent and identically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distributed (i.i.d.) error terms.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Non-Parametric Machine Learning &amp; Tree-Based Ensembles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address the limitations of parametric linearity, researchers have increasingly adopted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non-parametric machine learning models. Unlike HPM, non-parametric algorithms do not assume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predefined mathematical form for the target function, allowing them to learn arbitrary decision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 directly from empirical data.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Random Forest Regressors (Bagging)</w:t>
      </w:r>
    </w:p>
    <w:p>
      <w:pPr>
        <w:autoSpaceDN w:val="0"/>
        <w:autoSpaceDE w:val="0"/>
        <w:widowControl/>
        <w:spacing w:line="352" w:lineRule="exact" w:before="260" w:after="24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Introduced by Breiman, the Random Forest (RF) algorithm is an ensemble method that constructs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multitude of decision trees during training. To output a prediction, RF averages the outputs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individual trees (bootstrap aggregation, or bagging), while injecting randomness by selecting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random subset of features at each split.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comparative studies 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4.000000000000057" w:type="dxa"/>
      </w:tblPr>
      <w:tblGrid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</w:tblGrid>
      <w:tr>
        <w:trPr>
          <w:trHeight w:hRule="exact" w:val="352"/>
        </w:trPr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mass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appraisal,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Random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Forest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consistently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outperforms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linear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OLS.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Antipov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10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and</w:t>
            </w:r>
          </w:p>
        </w:tc>
      </w:tr>
    </w:tbl>
    <w:p>
      <w:pPr>
        <w:autoSpaceDN w:val="0"/>
        <w:autoSpaceDE w:val="0"/>
        <w:widowControl/>
        <w:spacing w:line="348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Pokryshevskaya demonstrated that RF handles spatial interactions and multicollinearity natively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without requiring complex variable transformations. Furthermore, because it averages predictions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across hundreds of independent trees, RF exhibits high robustness against overfitting and is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insensitive to outliers—a common occurrence in housing datasets containing luxury estates 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distressed properties.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Gradient Boosting and XGBoost (Boosting)</w:t>
      </w:r>
    </w:p>
    <w:p>
      <w:pPr>
        <w:autoSpaceDN w:val="0"/>
        <w:autoSpaceDE w:val="0"/>
        <w:widowControl/>
        <w:spacing w:line="352" w:lineRule="exact" w:before="26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Random Forest grows trees in parallel, Gradient Boosting Decision Trees (GBDT) build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trees sequentially. Each new tree is trained to predict the residuals (errors) of the preceding trees,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using gradient descent optimization to minimize a loss function. Chen and Guestrin optimized this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paradigm by introducing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 (Extreme Gradient Boosting)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which incorporates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regularized objective function to control model complexity and prevent overfitting, alongside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parallelized tree construction.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GBDT and XGBoost have emerged 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state-of-the-art for tabular regression tasks. Mullainathan and Spiess highlighted that boosting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algorithms excel at mapping complex coordinate interactions (Latitude and Longitude) to local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neighborhood values, representing a significant improvement over traditional dummy variables for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submarkets. The algorithm's built-in handling of missing values and computational efficiency make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it highly suitable for production-level API deployment.</w:t>
      </w:r>
    </w:p>
    <w:p>
      <w:pPr>
        <w:sectPr>
          <w:pgSz w:w="11906" w:h="16838"/>
          <w:pgMar w:top="680" w:right="1104" w:bottom="752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Artificial Neural Networks (Connectionist Systems / Deep Learning)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Neural Networks (ANNs), particularly Multi-Layer Perceptrons (MLPs), represent another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prominent non-parametric paradigm. Drawing inspiration from biological neural pathways, ANNs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pass input features through multiple hidden layers of interconnected nodes where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activation functions (e.g., ReLU) are applied.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304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real estate forecasting, ANNs act as universal function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approximators capable of modeling extremely intricate, high-dimensional interactions.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Limsombunchao compared OLS and ANNs on housing datasets and concluded that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connectionist approach achieves lower Root Mean Squared Error (RMSE) due to its ability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to model complex structural-spatial interactions.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However, deep learning models present significant drawbacks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when applied to tabular datasets of moderate size (e.g., under 50,000 observations).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Grinsztajn, Oyallon and Varoquaux conducted extensive benchmarks comparing deep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learning architectures to tree ensembles on tabular data, finding that tree-based models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(like XGBoost and Random Forest) consistently outperform ANNs. Neural networks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highly sensitive to hyperparameter choices, require extensive data normalization,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computationally expensive to train, and suffer from a complete lack of interpretability (the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"black box" problem), making them less practical for real estate markets where </w:t>
      </w:r>
      <w:r>
        <w:br/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transparency is legally or socially required.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5. Summary and Synthesis of Model Selection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Based on the literature review, the model selections for this project are justified as follows: 1. </w:t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serves as the essential parametric baseline, representing traditional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econometric appraisal (HPM) to highlight the performance gains of non-parametric approaches. 2.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is selected as a robust bagging ensemble to handle structural multicollinearity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outlier variance. 3.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represents the state-of-the-art regularized boosting paradigm,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selected for its superior predictive performance on tabular coordinate and demographic data.</w:t>
      </w:r>
    </w:p>
    <w:p>
      <w:pPr>
        <w:autoSpaceDN w:val="0"/>
        <w:autoSpaceDE w:val="0"/>
        <w:widowControl/>
        <w:spacing w:line="480" w:lineRule="exact" w:before="994" w:after="0"/>
        <w:ind w:left="30" w:right="432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C: Exploratory Data Analysis (EDA) and Model Influence </w:t>
      </w:r>
      <w:r>
        <w:rPr>
          <w:rFonts w:ascii="Helvetica" w:hAnsi="Helvetica" w:eastAsia="Helvetica"/>
          <w:b/>
          <w:i w:val="0"/>
          <w:color w:val="1F3A52"/>
          <w:sz w:val="30"/>
        </w:rPr>
        <w:t>(10 Marks)</w:t>
      </w:r>
    </w:p>
    <w:p>
      <w:pPr>
        <w:sectPr>
          <w:pgSz w:w="11906" w:h="16838"/>
          <w:pgMar w:top="676" w:right="1104" w:bottom="91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Exploratory Data Analysis (EDA) was carried out to understand the structure, distribution,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relationships within the dataset for the real estate price prediction task. The analysis aimed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identify data quality issues, target distribution, feature behavior, and correlations that affect model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performance and algorithmic choices.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training dataset has 16,512 observations and 11 attributes. These include physical structural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attributes, local demographic indicators, and geographic coordinates, along with the continuous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target variable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An initial check showed missing values in the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feature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(~7.9% of training records) and the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TotalBedrooms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feature (~0.1%). The dataset contains a mix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numerical (float and integer) and engineered categorical variables, supporting the use of robust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scaling, imputation, and encoding pipelines during model development.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3.1 Target Variable Distribution and Boundary Capping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target variable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shows the transaction price of properties (scaled by a factor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100,000, e.g. a target value of 2.3367 represents a price of $233,671.67). Unlike classification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tasks,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is a continuous numerical variable. Analysis of its distribution showed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right-skewed layout with a sharp spike at the upper boundary (5.0001), representing a hard price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cap of $500,000 imposed during data collection.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Because of this boundary limit and skewness, standard linear regressions are prone to predicting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negative values or out-of-bounds prices. So, we chose to implement a clipping threshold (capping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predictions at 0.0) in our model inference pipeline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app.py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06_model_inference.ipynb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Furthermore, this boundary behavior supported the use of non-parametric tree ensembles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(XGBoost and Random Forest), which construct split boundaries and handle capped limits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skewness natively without requiring mathematical target transformations.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3.2 Numerical Feature Distributions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distributions of numerical features were examined using histograms with KDE overlays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identify skewness, outliers, and general trends (see Figure 1).</w:t>
      </w:r>
    </w:p>
    <w:p>
      <w:pPr>
        <w:sectPr>
          <w:pgSz w:w="11906" w:h="16838"/>
          <w:pgMar w:top="680" w:right="1104" w:bottom="144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251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251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8" w:after="0"/>
        <w:ind w:left="30" w:right="8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Applicant area income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IncomeLevel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showed a right-skewed distribution, indicating that most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property neighborhoods belong to middle-income classes, while a few represent high-income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districts. Average occupancy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AvgOccupancy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) and rooms per household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RoomsPerHousehold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exhibited extreme right-skewed distributions with heavy outlier tails (e.g., maximum occupancy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values reaching 1,243 and rooms exceeding 50 per household).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Geographical coordinates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Latitude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Longitude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displayed multi-modal spatial distributions,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representing major population and housing clusters (e.g., coastal and metropolitan hubs).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Because of these spatial and skewed patterns, standard linear scaling would be heavily distorted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by extreme outliers. This influenced the decision to use robust tree-based ensembles (XGBoost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Random Forest) that are rank-based and invariant to monotonic scale transformations,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making them immune to outlier scaling bias.</w:t>
      </w:r>
    </w:p>
    <w:p>
      <w:pPr>
        <w:autoSpaceDN w:val="0"/>
        <w:autoSpaceDE w:val="0"/>
        <w:widowControl/>
        <w:spacing w:line="330" w:lineRule="exact" w:before="9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3.3 Categorical and Engineered Feature Analysis</w:t>
      </w:r>
    </w:p>
    <w:p>
      <w:pPr>
        <w:autoSpaceDN w:val="0"/>
        <w:autoSpaceDE w:val="0"/>
        <w:widowControl/>
        <w:spacing w:line="352" w:lineRule="exact" w:before="270" w:after="0"/>
        <w:ind w:left="30" w:right="2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capture the non-linear depreciation of housing values over time, the numerical feature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was engineered into a categorical feature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PropertyAge_bins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using structural age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brackets: 'New' ($\le 15$ years), 'Moderate' ($16-35$ years), and 'Old' ($&gt;35$ years) (see Figure</w:t>
      </w:r>
    </w:p>
    <w:p>
      <w:pPr>
        <w:sectPr>
          <w:pgSz w:w="11906" w:h="16838"/>
          <w:pgMar w:top="720" w:right="1074" w:bottom="85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04" w:lineRule="exact" w:before="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2).</w:t>
      </w:r>
    </w:p>
    <w:p>
      <w:pPr>
        <w:autoSpaceDN w:val="0"/>
        <w:autoSpaceDE w:val="0"/>
        <w:widowControl/>
        <w:spacing w:line="240" w:lineRule="auto" w:before="43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5478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5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6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mathematically prove that these binned age groups represent statistically distinct house prices,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we conducted formal hypothesis testing: * </w:t>
      </w:r>
      <w:r>
        <w:rPr>
          <w:rFonts w:ascii="Helvetica" w:hAnsi="Helvetica" w:eastAsia="Helvetica"/>
          <w:b/>
          <w:i w:val="0"/>
          <w:color w:val="333333"/>
          <w:sz w:val="22"/>
        </w:rPr>
        <w:t>ANOVA F-Test: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one-way Analysis of Variance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(ANOVA) test across the three age categories resulted in a highly significant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F-statistic of 113.82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a </w:t>
      </w:r>
      <w:r>
        <w:rPr>
          <w:rFonts w:ascii="Helvetica" w:hAnsi="Helvetica" w:eastAsia="Helvetica"/>
          <w:b/>
          <w:i w:val="0"/>
          <w:color w:val="333333"/>
          <w:sz w:val="22"/>
        </w:rPr>
        <w:t>p-value of 0.0000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($p &lt; 0.05$). This statistically confirms that the mean housing prices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among 'New', 'Moderate', and 'Old' properties are significantly different. * </w:t>
      </w:r>
      <w:r>
        <w:rPr>
          <w:rFonts w:ascii="Helvetica" w:hAnsi="Helvetica" w:eastAsia="Helvetica"/>
          <w:b/>
          <w:i w:val="0"/>
          <w:color w:val="333333"/>
          <w:sz w:val="22"/>
        </w:rPr>
        <w:t>Student's T-Test: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independent two-sample t-test between the 'New' and 'Old' property subsets yielded a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t-statistic </w:t>
      </w:r>
      <w:r>
        <w:rPr>
          <w:rFonts w:ascii="Helvetica" w:hAnsi="Helvetica" w:eastAsia="Helvetica"/>
          <w:b/>
          <w:i w:val="0"/>
          <w:color w:val="333333"/>
          <w:sz w:val="22"/>
        </w:rPr>
        <w:t>of 14.85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a </w:t>
      </w:r>
      <w:r>
        <w:rPr>
          <w:rFonts w:ascii="Helvetica" w:hAnsi="Helvetica" w:eastAsia="Helvetica"/>
          <w:b/>
          <w:i w:val="0"/>
          <w:color w:val="333333"/>
          <w:sz w:val="22"/>
        </w:rPr>
        <w:t>p-value of 0.0000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confirming that new properties command a statistically higher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price profile.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This statistical validation justified our encoding strategy (Ordinal Encoding) in the preprocessing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pipeline, allowing tree splits in XGBoost and Random Forest to branch on clean structural age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thresholds.</w:t>
      </w:r>
    </w:p>
    <w:p>
      <w:pPr>
        <w:autoSpaceDN w:val="0"/>
        <w:autoSpaceDE w:val="0"/>
        <w:widowControl/>
        <w:spacing w:line="330" w:lineRule="exact" w:before="9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3.4 Correlation Analysis</w:t>
      </w:r>
    </w:p>
    <w:p>
      <w:pPr>
        <w:sectPr>
          <w:pgSz w:w="11906" w:h="16838"/>
          <w:pgMar w:top="680" w:right="1104" w:bottom="958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correlation heatmap was created to look at linear relationships between numerical features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the target variable (see Figure 3).</w:t>
      </w:r>
    </w:p>
    <w:p>
      <w:pPr>
        <w:autoSpaceDN w:val="0"/>
        <w:autoSpaceDE w:val="0"/>
        <w:widowControl/>
        <w:spacing w:line="240" w:lineRule="auto" w:before="43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55511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5551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8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strong positive correlation was found between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TotalBedrooms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(correlation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coefficient </w:t>
      </w:r>
      <w:r>
        <w:rPr>
          <w:rFonts w:ascii="Symbol" w:hAnsi="Symbol" w:eastAsia="Symbol"/>
          <w:b w:val="0"/>
          <w:i w:val="0"/>
          <w:color w:val="333333"/>
          <w:sz w:val="22"/>
        </w:rPr>
        <w:t>≈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0.85). In linear models, this causes severe multicollinearity, inflating the variance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regression coefficients and rendering the model unstable. To balance this, we engineered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BedroomsRatio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($r \approx -0.26$).</w:t>
      </w:r>
    </w:p>
    <w:p>
      <w:pPr>
        <w:autoSpaceDN w:val="0"/>
        <w:autoSpaceDE w:val="0"/>
        <w:widowControl/>
        <w:spacing w:line="352" w:lineRule="exact" w:before="304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Regarding the target variable,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IncomeLevel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a strong positive correlation with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($r \approx 0.69$), identifying it as the single most predictive feature. Coordinates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Latitude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Longitude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weak individual linear correlations ($r \approx -0.08$ and $r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\approx -0.05$), yet they are highly predictive of house price through geographic interaction. This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required using models like XGBoost that split coordinates in multi-dimensional space to capture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localized value groups.</w:t>
      </w:r>
    </w:p>
    <w:p>
      <w:pPr>
        <w:sectPr>
          <w:pgSz w:w="11906" w:h="16838"/>
          <w:pgMar w:top="680" w:right="1134" w:bottom="824" w:left="115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332" w:lineRule="exact" w:before="3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Key Insights from EDA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dataset has missing values in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which were dropped during training to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preserve distribution shapes, but handled via median imputer in production to handle user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default inputs.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The target price is right-skewed with a cap at 5.0, requiring clipping bounds in inference.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Indicators like occupancy and rooms per household have heavy outlier tails, directing our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choice toward tree-based ensembles (XGBoost/Random Forest) that are naturally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outlier-resistant.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Location coordinates do not exhibit simple linear relationships, calling for non-parametric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model architectures.</w:t>
      </w:r>
    </w:p>
    <w:p>
      <w:pPr>
        <w:autoSpaceDN w:val="0"/>
        <w:autoSpaceDE w:val="0"/>
        <w:widowControl/>
        <w:spacing w:line="352" w:lineRule="exact" w:before="63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 general, the exploratory data analysis offered a solid basis for feature engineering, model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selection, and evaluation strategies used in this project.</w:t>
      </w:r>
    </w:p>
    <w:p>
      <w:pPr>
        <w:autoSpaceDN w:val="0"/>
        <w:autoSpaceDE w:val="0"/>
        <w:widowControl/>
        <w:spacing w:line="412" w:lineRule="exact" w:before="106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D: System Architecture (10 Marks)</w:t>
      </w:r>
    </w:p>
    <w:p>
      <w:pPr>
        <w:autoSpaceDN w:val="0"/>
        <w:autoSpaceDE w:val="0"/>
        <w:widowControl/>
        <w:spacing w:line="332" w:lineRule="exact" w:before="528" w:after="34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Processing Pipeline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9678"/>
      </w:tblGrid>
      <w:tr>
        <w:trPr>
          <w:trHeight w:hRule="exact" w:val="3066"/>
        </w:trPr>
        <w:tc>
          <w:tcPr>
            <w:tcW w:type="dxa" w:w="963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32" w:after="0"/>
              <w:ind w:left="156" w:right="144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graph TD A[estate_train.csv / Raw Data] --&gt; B[Data Cleaning: Drop ID, Drop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PropertyAge NaNs] B --&gt; C[Feature Engineering: PropertyAge Binning] C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D[ColumnTransformer Preprocessing: Imputation + StandardScaler + OrdinalEncoder]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 --&gt; E[Train-Test Split 80/20] E --&gt; F[GridSearchCV Hyperparameter Tuning] F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G[Linear, RF, and XGBoost Best Estimators] G --&gt; H[Model Serialization: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joblib.dump] H --&gt; I[Flask Web Server: app.py] J[estate_test.csv] --&gt; K[Impute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Test Age via Train Median] K --&gt; L[Test set Binning] L --&gt; M[Fitted Preprocessor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Transform] M --&gt; N[Predict TargetPrice using Saved XGBoost Model] N --&gt;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O[submission.csv]</w:t>
            </w:r>
          </w:p>
        </w:tc>
      </w:tr>
    </w:tbl>
    <w:p>
      <w:pPr>
        <w:autoSpaceDN w:val="0"/>
        <w:autoSpaceDE w:val="0"/>
        <w:widowControl/>
        <w:spacing w:line="332" w:lineRule="exact" w:before="28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Model Selection Justification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Baseline regression model, fast and simple but restricted to linear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relationships.</w:t>
      </w:r>
    </w:p>
    <w:p>
      <w:pPr>
        <w:sectPr>
          <w:pgSz w:w="11906" w:h="16838"/>
          <w:pgMar w:top="714" w:right="1104" w:bottom="116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28" w:lineRule="exact" w:before="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Averages many independent decision trees. By introducing randomness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during tree splitting, it reduces variance, increases stability, and provides robust predictions.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XGBoost: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powerful gradient boosted decision trees algorithm. It trains trees sequentially,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where each tree corrects errors of the previous ones. It is highly optimized, handles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complex non-linear relationships, and achieves outstanding accuracy.</w:t>
      </w:r>
    </w:p>
    <w:p>
      <w:pPr>
        <w:autoSpaceDN w:val="0"/>
        <w:autoSpaceDE w:val="0"/>
        <w:widowControl/>
        <w:spacing w:line="412" w:lineRule="exact" w:before="143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E: Full Model Evaluation &amp; Implementation (40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Performance Results (Test Set)</w:t>
      </w:r>
    </w:p>
    <w:p>
      <w:pPr>
        <w:autoSpaceDN w:val="0"/>
        <w:autoSpaceDE w:val="0"/>
        <w:widowControl/>
        <w:spacing w:line="352" w:lineRule="exact" w:before="270" w:after="424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models were trained using 6-fold cross-validation on the training set and evaluated on the test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936"/>
        <w:gridCol w:w="1936"/>
        <w:gridCol w:w="1936"/>
        <w:gridCol w:w="1936"/>
        <w:gridCol w:w="1936"/>
      </w:tblGrid>
      <w:tr>
        <w:trPr>
          <w:trHeight w:hRule="exact" w:val="1392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Model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Tuning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Hyperparameters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$R^2$ Score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0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Root Mean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Squared Error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(RMSE)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Mean Absolute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Error (MAE)</w:t>
            </w:r>
          </w:p>
        </w:tc>
      </w:tr>
      <w:tr>
        <w:trPr>
          <w:trHeight w:hRule="exact" w:val="1088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 xml:space="preserve">Linear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Regression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None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0.6521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0.6693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0.4805</w:t>
            </w:r>
          </w:p>
        </w:tc>
      </w:tr>
      <w:tr>
        <w:trPr>
          <w:trHeight w:hRule="exact" w:val="200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Random Forest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0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12,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min_samples_leaf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2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0" w:val="left"/>
              </w:tabs>
              <w:autoSpaceDE w:val="0"/>
              <w:widowControl/>
              <w:spacing w:line="306" w:lineRule="exact" w:before="728" w:after="0"/>
              <w:ind w:left="14" w:right="100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0.7854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: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2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0.5257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0.3522</w:t>
            </w:r>
          </w:p>
        </w:tc>
      </w:tr>
      <w:tr>
        <w:trPr>
          <w:trHeight w:hRule="exact" w:val="200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XGBoost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144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6,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learning_rate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0.1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0.8256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0.4739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0.3124</w:t>
            </w:r>
          </w:p>
        </w:tc>
      </w:tr>
    </w:tbl>
    <w:p>
      <w:pPr>
        <w:autoSpaceDN w:val="0"/>
        <w:autoSpaceDE w:val="0"/>
        <w:widowControl/>
        <w:spacing w:line="330" w:lineRule="exact" w:before="28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Web Application Setup</w:t>
      </w:r>
    </w:p>
    <w:p>
      <w:pPr>
        <w:sectPr>
          <w:pgSz w:w="11906" w:h="16838"/>
          <w:pgMar w:top="680" w:right="1104" w:bottom="1198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40" w:lineRule="exact" w:before="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Backend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app.py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Utilizes Flask. Loads serialized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preprocessor.joblib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br/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linear_regression_model.joblib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xgboost_model.joblib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and </w:t>
      </w:r>
      <w:r>
        <w:br/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random_forest_model.joblib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on startup. Serves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/predict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endpoint returning JSON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predictions.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Frontend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templates/index.html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Glassmorphic web panel with Outfit typography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dynamic dark mode sliders for all 10 features: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sliders: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IncomeLevel, PropertyAge, TotalRooms, TotalBedrooms, AvgOccupancy,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RoomsPerHousehold, BedroomsRatio.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inputs: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NeighborhoodPop, Latitude, Longitude.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Live updates are sent asynchronously to the backend on slider adjust, updating predicted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prices dynamically with a neon green layout.</w:t>
      </w:r>
    </w:p>
    <w:p>
      <w:pPr>
        <w:autoSpaceDN w:val="0"/>
        <w:autoSpaceDE w:val="0"/>
        <w:widowControl/>
        <w:spacing w:line="412" w:lineRule="exact" w:before="143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F: Critical Evaluation &amp; Limitations (10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Domain Suitability of the Model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Random Forest Regressor is highly suited for real estate valuation. It is robust to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outliers (which are common in real estate due to luxury housing spikes) and captures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complex interactions between geographic coordinates and average occupancy.</w:t>
      </w:r>
    </w:p>
    <w:p>
      <w:pPr>
        <w:autoSpaceDN w:val="0"/>
        <w:autoSpaceDE w:val="0"/>
        <w:widowControl/>
        <w:spacing w:line="332" w:lineRule="exact" w:before="81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Suitability of Deep Learning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Deep Learning (e.g. MLPs) can approximate the spatial price function, it is less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suitable here due to: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Data scale: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Tabular dataset size (15k rows) is too small to train large network parameters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without massive overfitting.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Interpretability: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appraisers require structural rules (e.g., how the bedrooms ratio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impacts price) which are inspectable in tree splits but completely hidden in deep neural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weights.</w:t>
      </w:r>
    </w:p>
    <w:p>
      <w:pPr>
        <w:autoSpaceDN w:val="0"/>
        <w:autoSpaceDE w:val="0"/>
        <w:widowControl/>
        <w:spacing w:line="332" w:lineRule="exact" w:before="81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Limitations of the Current Approach</w:t>
      </w:r>
    </w:p>
    <w:p>
      <w:pPr>
        <w:sectPr>
          <w:pgSz w:w="11906" w:h="16838"/>
          <w:pgMar w:top="680" w:right="1104" w:bottom="94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30" w:val="left"/>
        </w:tabs>
        <w:autoSpaceDE w:val="0"/>
        <w:widowControl/>
        <w:spacing w:line="328" w:lineRule="exact" w:before="0" w:after="0"/>
        <w:ind w:left="30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Temporal Shift: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does not include time metrics. Inflation, interest rates,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seasonal spikes are completely ignored.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Geographical Constraints: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is bound to the coordinate boundaries of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training dataset. It cannot predict prices for properties outside these geographical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boundaries.</w:t>
      </w:r>
    </w:p>
    <w:p>
      <w:pPr>
        <w:autoSpaceDN w:val="0"/>
        <w:autoSpaceDE w:val="0"/>
        <w:widowControl/>
        <w:spacing w:line="332" w:lineRule="exact" w:before="816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Future Suggestions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70" w:after="0"/>
        <w:ind w:left="30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We successfully implemented XGBoost and improved the $R^2$ score to </w:t>
      </w:r>
      <w:r>
        <w:rPr>
          <w:rFonts w:ascii="Helvetica" w:hAnsi="Helvetica" w:eastAsia="Helvetica"/>
          <w:b/>
          <w:i w:val="0"/>
          <w:color w:val="333333"/>
          <w:sz w:val="22"/>
        </w:rPr>
        <w:t>0.8256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Future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work could incorporate LightGBM to speed up training.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Incorporate SHAP (Shapley Additive exPlanations) values to provide local feature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contribution visualization in the web application UI.</w:t>
      </w:r>
    </w:p>
    <w:sectPr w:rsidR="00FC693F" w:rsidRPr="0006063C" w:rsidSect="00034616">
      <w:pgSz w:w="11906" w:h="16838"/>
      <w:pgMar w:top="680" w:right="1440" w:bottom="1440" w:left="115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