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8"/>
        <w:ind w:left="0" w:right="0"/>
      </w:pPr>
    </w:p>
    <w:p>
      <w:pPr>
        <w:autoSpaceDN w:val="0"/>
        <w:autoSpaceDE w:val="0"/>
        <w:widowControl/>
        <w:spacing w:line="552" w:lineRule="exact" w:before="0" w:after="0"/>
        <w:ind w:left="36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40"/>
        </w:rPr>
        <w:t>COMPREHENSIVE ASSESSMENT REPORT</w:t>
      </w:r>
    </w:p>
    <w:p>
      <w:pPr>
        <w:autoSpaceDN w:val="0"/>
        <w:autoSpaceDE w:val="0"/>
        <w:widowControl/>
        <w:spacing w:line="552" w:lineRule="exact" w:before="88" w:after="0"/>
        <w:ind w:left="36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40"/>
        </w:rPr>
        <w:t>(DRAFT)</w:t>
      </w:r>
    </w:p>
    <w:p>
      <w:pPr>
        <w:autoSpaceDN w:val="0"/>
        <w:autoSpaceDE w:val="0"/>
        <w:widowControl/>
        <w:spacing w:line="352" w:lineRule="exact" w:before="448" w:after="0"/>
        <w:ind w:left="36" w:right="54" w:firstLine="0"/>
        <w:jc w:val="both"/>
      </w:pPr>
      <w:r>
        <w:rPr>
          <w:rFonts w:ascii="Helvetica" w:hAnsi="Helvetica" w:eastAsia="Helvetica"/>
          <w:b/>
          <w:i w:val="0"/>
          <w:color w:val="333333"/>
          <w:sz w:val="22"/>
        </w:rPr>
        <w:t>Module: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Computational Intelligence (CIS 6005) </w:t>
      </w:r>
      <w:r>
        <w:rPr>
          <w:rFonts w:ascii="Helvetica" w:hAnsi="Helvetica" w:eastAsia="Helvetica"/>
          <w:b/>
          <w:i w:val="0"/>
          <w:color w:val="333333"/>
          <w:sz w:val="22"/>
        </w:rPr>
        <w:t>Assessment: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WRIT1 - Deep Learning Plus AI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Mini Project </w:t>
      </w:r>
      <w:r>
        <w:rPr>
          <w:rFonts w:ascii="Helvetica" w:hAnsi="Helvetica" w:eastAsia="Helvetica"/>
          <w:b/>
          <w:i w:val="0"/>
          <w:color w:val="333333"/>
          <w:sz w:val="22"/>
        </w:rPr>
        <w:t>Target Dataset: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Real Estate House Price Prediction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estate_train.csv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) </w:t>
      </w:r>
      <w:r>
        <w:rPr>
          <w:rFonts w:ascii="Helvetica" w:hAnsi="Helvetica" w:eastAsia="Helvetica"/>
          <w:b/>
          <w:i w:val="0"/>
          <w:color w:val="333333"/>
          <w:sz w:val="22"/>
        </w:rPr>
        <w:t xml:space="preserve">Trained </w:t>
      </w:r>
      <w:r>
        <w:rPr>
          <w:rFonts w:ascii="Helvetica" w:hAnsi="Helvetica" w:eastAsia="Helvetica"/>
          <w:b/>
          <w:i w:val="0"/>
          <w:color w:val="333333"/>
          <w:sz w:val="22"/>
        </w:rPr>
        <w:t>Models: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Linear Regression, XGBoost Regressor, Random Forest Regressor </w:t>
      </w:r>
      <w:r>
        <w:rPr>
          <w:rFonts w:ascii="Helvetica" w:hAnsi="Helvetica" w:eastAsia="Helvetica"/>
          <w:b/>
          <w:i w:val="0"/>
          <w:color w:val="333333"/>
          <w:sz w:val="22"/>
        </w:rPr>
        <w:t xml:space="preserve">Artifact Link: </w:t>
      </w:r>
      <w:r>
        <w:rPr>
          <w:rFonts w:ascii="Helvetica" w:hAnsi="Helvetica" w:eastAsia="Helvetica"/>
          <w:b w:val="0"/>
          <w:i w:val="0"/>
          <w:color w:val="0000FF"/>
          <w:sz w:val="22"/>
          <w:u w:val="single"/>
        </w:rPr>
        <w:t>submission.csv</w:t>
      </w:r>
      <w:r>
        <w:rPr>
          <w:rFonts w:ascii="Helvetica" w:hAnsi="Helvetica" w:eastAsia="Helvetica"/>
          <w:b/>
          <w:i w:val="0"/>
          <w:color w:val="333333"/>
          <w:sz w:val="22"/>
        </w:rPr>
        <w:t>Application Code:</w:t>
      </w:r>
      <w:r>
        <w:rPr>
          <w:rFonts w:ascii="Helvetica" w:hAnsi="Helvetica" w:eastAsia="Helvetica"/>
          <w:b w:val="0"/>
          <w:i w:val="0"/>
          <w:color w:val="0000FF"/>
          <w:sz w:val="22"/>
          <w:u w:val="single"/>
        </w:rPr>
        <w:t>app.py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| </w:t>
      </w:r>
      <w:r>
        <w:rPr>
          <w:rFonts w:ascii="Helvetica" w:hAnsi="Helvetica" w:eastAsia="Helvetica"/>
          <w:b w:val="0"/>
          <w:i w:val="0"/>
          <w:color w:val="0000FF"/>
          <w:sz w:val="22"/>
          <w:u w:val="single"/>
        </w:rPr>
        <w:t>templates/index.html</w:t>
      </w:r>
    </w:p>
    <w:p>
      <w:pPr>
        <w:autoSpaceDN w:val="0"/>
        <w:autoSpaceDE w:val="0"/>
        <w:widowControl/>
        <w:spacing w:line="480" w:lineRule="exact" w:before="994" w:after="0"/>
        <w:ind w:left="36" w:right="864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30"/>
        </w:rPr>
        <w:t xml:space="preserve">Section A: Computational Intelligence vs Traditional Artificial </w:t>
      </w:r>
      <w:r>
        <w:rPr>
          <w:rFonts w:ascii="Helvetica" w:hAnsi="Helvetica" w:eastAsia="Helvetica"/>
          <w:b/>
          <w:i w:val="0"/>
          <w:color w:val="1F3A52"/>
          <w:sz w:val="30"/>
        </w:rPr>
        <w:t>Intelligence (10 Marks)</w:t>
      </w:r>
    </w:p>
    <w:p>
      <w:pPr>
        <w:autoSpaceDN w:val="0"/>
        <w:autoSpaceDE w:val="0"/>
        <w:widowControl/>
        <w:spacing w:line="330" w:lineRule="exact" w:before="528" w:after="0"/>
        <w:ind w:left="36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1. Introduction to Artificial Intelligence Paradigms</w:t>
      </w:r>
    </w:p>
    <w:p>
      <w:pPr>
        <w:autoSpaceDN w:val="0"/>
        <w:autoSpaceDE w:val="0"/>
        <w:widowControl/>
        <w:spacing w:line="352" w:lineRule="exact" w:before="270" w:after="0"/>
        <w:ind w:left="36" w:right="54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Artificial Intelligence (AI) as a scientific discipline seeks to create computational systems that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exhibit cognitive behaviors analogous to human intelligence. Historically, the pursuit of AI has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bifurcated into two primary paradigms: </w:t>
      </w:r>
      <w:r>
        <w:rPr>
          <w:rFonts w:ascii="Helvetica" w:hAnsi="Helvetica" w:eastAsia="Helvetica"/>
          <w:b/>
          <w:i w:val="0"/>
          <w:color w:val="333333"/>
          <w:sz w:val="22"/>
        </w:rPr>
        <w:t>Traditional Artificial Intelligence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(also known as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Symbolic AI, Hard AI, or Good Old-Fashioned AI - GOFAI) and </w:t>
      </w:r>
      <w:r>
        <w:rPr>
          <w:rFonts w:ascii="Helvetica" w:hAnsi="Helvetica" w:eastAsia="Helvetica"/>
          <w:b/>
          <w:i w:val="0"/>
          <w:color w:val="333333"/>
          <w:sz w:val="22"/>
        </w:rPr>
        <w:t>Computational Intelligence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(CI,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often associated with Soft Computing or Connectionist AI). While Traditional AI focuses on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high-level cognitive functions through symbolic manipulation, Computational Intelligence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approaches problem-solving from a low-level, biologically-inspired, and data-driven perspective.</w:t>
      </w:r>
    </w:p>
    <w:p>
      <w:pPr>
        <w:autoSpaceDN w:val="0"/>
        <w:autoSpaceDE w:val="0"/>
        <w:widowControl/>
        <w:spacing w:line="330" w:lineRule="exact" w:before="984" w:after="0"/>
        <w:ind w:left="36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2. Traditional Artificial Intelligence (Symbolic &amp; Expert Systems)</w:t>
      </w:r>
    </w:p>
    <w:p>
      <w:pPr>
        <w:autoSpaceDN w:val="0"/>
        <w:autoSpaceDE w:val="0"/>
        <w:widowControl/>
        <w:spacing w:line="352" w:lineRule="exact" w:before="270" w:after="0"/>
        <w:ind w:left="36" w:right="54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Traditional AI is characterized by a "top-down" conceptual framework. It operates on the physical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symbol system hypothesis, which posits that symbolic processing is necessary and sufficient for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general intelligent action.</w:t>
      </w:r>
    </w:p>
    <w:p>
      <w:pPr>
        <w:autoSpaceDN w:val="0"/>
        <w:tabs>
          <w:tab w:pos="666" w:val="left"/>
        </w:tabs>
        <w:autoSpaceDE w:val="0"/>
        <w:widowControl/>
        <w:spacing w:line="352" w:lineRule="exact" w:before="304" w:after="0"/>
        <w:ind w:left="336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Core Tenets and Mechanisms: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Traditional AI models human reasoning by explicitly coding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rules and knowledge. The core mechanism involves a </w:t>
      </w:r>
      <w:r>
        <w:rPr>
          <w:rFonts w:ascii="Helvetica" w:hAnsi="Helvetica" w:eastAsia="Helvetica"/>
          <w:b/>
          <w:i w:val="0"/>
          <w:color w:val="333333"/>
          <w:sz w:val="22"/>
        </w:rPr>
        <w:t>Knowledge Base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(a repository of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facts and rule-based logic, typically represented as IF-THEN structures) and an </w:t>
      </w:r>
      <w:r>
        <w:rPr>
          <w:rFonts w:ascii="Helvetica" w:hAnsi="Helvetica" w:eastAsia="Helvetica"/>
          <w:b/>
          <w:i w:val="0"/>
          <w:color w:val="333333"/>
          <w:sz w:val="22"/>
        </w:rPr>
        <w:t xml:space="preserve">Inference 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Engine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(which applies logical rules using deductive reasoning mechanisms such as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forward-chaining or backward-chaining).</w:t>
      </w:r>
    </w:p>
    <w:p>
      <w:pPr>
        <w:sectPr>
          <w:pgSz w:w="11906" w:h="16838"/>
          <w:pgMar w:top="648" w:right="1100" w:bottom="1122" w:left="11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tabs>
          <w:tab w:pos="660" w:val="left"/>
        </w:tabs>
        <w:autoSpaceDE w:val="0"/>
        <w:widowControl/>
        <w:spacing w:line="342" w:lineRule="exact" w:before="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Strengths: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Because reasoning is representational and rule-based, symbolic systems are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highly deterministic and explainable. The logic path leading to a specific decision can be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fully traced and audited, making it highly effective in closed, deterministic, and highly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structured environments (e.g., mathematical theorem proving, tax calculators, and chess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engines).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144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Critical Limitations: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Symbolic systems exhibit extreme brittleness. They require absolute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certainty and structured inputs; they lack the capacity to process noisy, ambiguous, or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incomplete real-world data. Furthermore, they suffer from the </w:t>
      </w:r>
      <w:r>
        <w:rPr>
          <w:rFonts w:ascii="Helvetica" w:hAnsi="Helvetica" w:eastAsia="Helvetica"/>
          <w:b/>
          <w:i w:val="0"/>
          <w:color w:val="333333"/>
          <w:sz w:val="22"/>
        </w:rPr>
        <w:t xml:space="preserve">"Knowledge Acquisition 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Bottleneck"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—the practical impossibility of manually coding every potential rule in complex,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dynamically changing environments.</w:t>
      </w:r>
    </w:p>
    <w:p>
      <w:pPr>
        <w:autoSpaceDN w:val="0"/>
        <w:autoSpaceDE w:val="0"/>
        <w:widowControl/>
        <w:spacing w:line="332" w:lineRule="exact" w:before="1356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3. Computational Intelligence (CI)</w:t>
      </w:r>
    </w:p>
    <w:p>
      <w:pPr>
        <w:autoSpaceDN w:val="0"/>
        <w:autoSpaceDE w:val="0"/>
        <w:widowControl/>
        <w:spacing w:line="352" w:lineRule="exact" w:before="27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 contrast, Computational Intelligence (CI) utilizes a "bottom-up" approach, focusing on adaptive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mechanisms that learn from raw data or interactive environments. Bezdek famously distinguished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CI from traditional AI by stating that a system is computationally intelligent when it begins to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process low-level numeric pattern data, incorporates learning and adaptation, and avoids rigid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symbolic representation.</w:t>
      </w:r>
    </w:p>
    <w:p>
      <w:pPr>
        <w:autoSpaceDN w:val="0"/>
        <w:autoSpaceDE w:val="0"/>
        <w:widowControl/>
        <w:spacing w:line="352" w:lineRule="exact" w:before="304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primary pillars of Computational Intelligence include: 1. </w:t>
      </w:r>
      <w:r>
        <w:rPr>
          <w:rFonts w:ascii="Helvetica" w:hAnsi="Helvetica" w:eastAsia="Helvetica"/>
          <w:b/>
          <w:i w:val="0"/>
          <w:color w:val="333333"/>
          <w:sz w:val="22"/>
        </w:rPr>
        <w:t xml:space="preserve">Artificial Neural Networks (ANNs):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Connectionist models inspired by biological nervous systems. They consist of layers of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interconnected nodes (neurons) that adjust their synaptic weights via training algorithms (e.g.,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backpropagation) to approximate complex, highly non-linear functions. 2. </w:t>
      </w:r>
      <w:r>
        <w:rPr>
          <w:rFonts w:ascii="Helvetica" w:hAnsi="Helvetica" w:eastAsia="Helvetica"/>
          <w:b/>
          <w:i w:val="0"/>
          <w:color w:val="333333"/>
          <w:sz w:val="22"/>
        </w:rPr>
        <w:t xml:space="preserve">Evolutionary </w:t>
      </w:r>
      <w:r>
        <w:rPr>
          <w:rFonts w:ascii="Helvetica" w:hAnsi="Helvetica" w:eastAsia="Helvetica"/>
          <w:b/>
          <w:i w:val="0"/>
          <w:color w:val="333333"/>
          <w:sz w:val="22"/>
        </w:rPr>
        <w:t>Computation (EC):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Optimization and search paradigms inspired by biological evolution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genetics (e.g., Genetic Algorithms). They generate optimal solutions through iterative generation,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selection, crossover, and mutation. 3. </w:t>
      </w:r>
      <w:r>
        <w:rPr>
          <w:rFonts w:ascii="Helvetica" w:hAnsi="Helvetica" w:eastAsia="Helvetica"/>
          <w:b/>
          <w:i w:val="0"/>
          <w:color w:val="333333"/>
          <w:sz w:val="22"/>
        </w:rPr>
        <w:t>Fuzzy Logic Systems (FLS):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 mathematical framework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designed to process "approximate" rather than "exact" reasoning. Unlike binary Boolean logic,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fuzzy logic maps membership inputs to continuous truth values between 0 and 1, simulating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human decision-making under uncertainty.</w:t>
      </w:r>
    </w:p>
    <w:p>
      <w:pPr>
        <w:autoSpaceDN w:val="0"/>
        <w:autoSpaceDE w:val="0"/>
        <w:widowControl/>
        <w:spacing w:line="332" w:lineRule="exact" w:before="982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4. Comparative Evaluation: Traditional AI vs. Computational Intelligence</w:t>
      </w:r>
    </w:p>
    <w:p>
      <w:pPr>
        <w:autoSpaceDN w:val="0"/>
        <w:autoSpaceDE w:val="0"/>
        <w:widowControl/>
        <w:spacing w:line="352" w:lineRule="exact" w:before="270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fundamental differences between the two paradigms can be evaluated across several critical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operational dimensions:</w:t>
      </w:r>
    </w:p>
    <w:p>
      <w:pPr>
        <w:sectPr>
          <w:pgSz w:w="11906" w:h="16838"/>
          <w:pgMar w:top="680" w:right="1104" w:bottom="1014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226"/>
        <w:gridCol w:w="3226"/>
        <w:gridCol w:w="3226"/>
      </w:tblGrid>
      <w:tr>
        <w:trPr>
          <w:trHeight w:hRule="exact" w:val="1088"/>
        </w:trPr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2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318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>Dimension</w:t>
            </w:r>
          </w:p>
        </w:tc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2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4" w:after="0"/>
              <w:ind w:left="232" w:right="576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 xml:space="preserve">Traditional Artificial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>Intelligence (Symbolic AI)</w:t>
            </w:r>
          </w:p>
        </w:tc>
        <w:tc>
          <w:tcPr>
            <w:tcW w:type="dxa" w:w="3214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2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4" w:after="0"/>
              <w:ind w:left="234" w:right="43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 xml:space="preserve">Computational Intelligence </w:t>
            </w: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>(Soft Computing)</w:t>
            </w:r>
          </w:p>
        </w:tc>
      </w:tr>
      <w:tr>
        <w:trPr>
          <w:trHeight w:hRule="exact" w:val="1392"/>
        </w:trPr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70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Logic &amp; Precision</w:t>
            </w:r>
          </w:p>
        </w:tc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2" w:after="0"/>
              <w:ind w:left="232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Binary Boolean logic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(True/False; 0 or 1). Demands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high precision.</w:t>
            </w:r>
          </w:p>
        </w:tc>
        <w:tc>
          <w:tcPr>
            <w:tcW w:type="dxa" w:w="3214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66" w:after="0"/>
              <w:ind w:left="23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Multi-valued fuzzy logic.</w:t>
            </w:r>
          </w:p>
          <w:p>
            <w:pPr>
              <w:autoSpaceDN w:val="0"/>
              <w:autoSpaceDE w:val="0"/>
              <w:widowControl/>
              <w:spacing w:line="304" w:lineRule="exact" w:before="0" w:after="0"/>
              <w:ind w:left="23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Tolerates imprecision, noise,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and approximation.</w:t>
            </w:r>
          </w:p>
        </w:tc>
      </w:tr>
      <w:tr>
        <w:trPr>
          <w:trHeight w:hRule="exact" w:val="1392"/>
        </w:trPr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70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Reasoning Flow</w:t>
            </w:r>
          </w:p>
        </w:tc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4" w:after="0"/>
              <w:ind w:left="232" w:right="28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Top-Down: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 Deductive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reasoning from general rules to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specific cases (Deduction).</w:t>
            </w:r>
          </w:p>
        </w:tc>
        <w:tc>
          <w:tcPr>
            <w:tcW w:type="dxa" w:w="3214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4" w:after="0"/>
              <w:ind w:left="234" w:right="28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Bottom-Up: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 Inductive learning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from specific data points 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general patterns (Induction).</w:t>
            </w:r>
          </w:p>
        </w:tc>
      </w:tr>
      <w:tr>
        <w:trPr>
          <w:trHeight w:hRule="exact" w:val="1394"/>
        </w:trPr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70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Knowledge Origin</w:t>
            </w:r>
          </w:p>
        </w:tc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2" w:after="0"/>
              <w:ind w:left="232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Manually engineered and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hard-coded by human domain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experts.</w:t>
            </w:r>
          </w:p>
        </w:tc>
        <w:tc>
          <w:tcPr>
            <w:tcW w:type="dxa" w:w="3214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2" w:after="0"/>
              <w:ind w:left="23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Learned dynamically and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autonomously from empirical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data.</w:t>
            </w:r>
          </w:p>
        </w:tc>
      </w:tr>
      <w:tr>
        <w:trPr>
          <w:trHeight w:hRule="exact" w:val="1390"/>
        </w:trPr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68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Adaptability</w:t>
            </w:r>
          </w:p>
        </w:tc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0" w:after="0"/>
              <w:ind w:left="232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Static. System rules must be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manually recoded 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accommodate changes.</w:t>
            </w:r>
          </w:p>
        </w:tc>
        <w:tc>
          <w:tcPr>
            <w:tcW w:type="dxa" w:w="3214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0" w:after="0"/>
              <w:ind w:left="23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Dynamic. Adapts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self-correctively through weight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adjustments or evolution.</w:t>
            </w:r>
          </w:p>
        </w:tc>
      </w:tr>
      <w:tr>
        <w:trPr>
          <w:trHeight w:hRule="exact" w:val="1392"/>
        </w:trPr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70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Explainability</w:t>
            </w:r>
          </w:p>
        </w:tc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278" w:after="0"/>
              <w:ind w:left="232" w:right="43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White-Box: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 Decisions are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highly transparent and logical.</w:t>
            </w:r>
          </w:p>
        </w:tc>
        <w:tc>
          <w:tcPr>
            <w:tcW w:type="dxa" w:w="3214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4" w:after="0"/>
              <w:ind w:left="234" w:right="28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Black-Box: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 High mathematical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complexity makes feature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interactions difficult to audit.</w:t>
            </w:r>
          </w:p>
        </w:tc>
      </w:tr>
      <w:tr>
        <w:trPr>
          <w:trHeight w:hRule="exact" w:val="1698"/>
        </w:trPr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22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Real-world Suitability</w:t>
            </w:r>
          </w:p>
        </w:tc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74" w:after="0"/>
              <w:ind w:left="232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Structured, rule-bound systems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(e.g., database management,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syntax parsing).</w:t>
            </w:r>
          </w:p>
        </w:tc>
        <w:tc>
          <w:tcPr>
            <w:tcW w:type="dxa" w:w="3214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2" w:after="0"/>
              <w:ind w:left="23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Uncertain, non-linear, spatial,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and noisy tasks (e.g., house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price forecasting, image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recognition).</w:t>
            </w:r>
          </w:p>
        </w:tc>
      </w:tr>
    </w:tbl>
    <w:p>
      <w:pPr>
        <w:autoSpaceDN w:val="0"/>
        <w:autoSpaceDE w:val="0"/>
        <w:widowControl/>
        <w:spacing w:line="302" w:lineRule="exact" w:before="264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2"/>
        </w:rPr>
        <w:t>Suitability for Housing Price Forecasting</w:t>
      </w:r>
    </w:p>
    <w:p>
      <w:pPr>
        <w:autoSpaceDN w:val="0"/>
        <w:autoSpaceDE w:val="0"/>
        <w:widowControl/>
        <w:spacing w:line="352" w:lineRule="exact" w:before="26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For the task of real estate valuation, traditional symbolic systems are highly deficient. Real estate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prices are governed by highly non-linear correlations, geographical coordinate interactions,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macro-economic volatility that cannot be expressed as manual IF-THEN rules. By utilizing a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Computational Intelligence approach (such as </w:t>
      </w:r>
      <w:r>
        <w:rPr>
          <w:rFonts w:ascii="Helvetica" w:hAnsi="Helvetica" w:eastAsia="Helvetica"/>
          <w:b/>
          <w:i w:val="0"/>
          <w:color w:val="333333"/>
          <w:sz w:val="22"/>
        </w:rPr>
        <w:t>XGBoost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or </w:t>
      </w:r>
      <w:r>
        <w:rPr>
          <w:rFonts w:ascii="Helvetica" w:hAnsi="Helvetica" w:eastAsia="Helvetica"/>
          <w:b/>
          <w:i w:val="0"/>
          <w:color w:val="333333"/>
          <w:sz w:val="22"/>
        </w:rPr>
        <w:t>Random Forest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ensembles), the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system can autonomously ingest spatial datasets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estate_train.csv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), model the complex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non-linear interaction of attributes (like mapping Latitude/Longitude coordinates onto prices),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generalize effectively to predict prices on unseen test cases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estate_test.csv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).</w:t>
      </w:r>
    </w:p>
    <w:p>
      <w:pPr>
        <w:sectPr>
          <w:pgSz w:w="11906" w:h="16838"/>
          <w:pgMar w:top="704" w:right="1104" w:bottom="880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412" w:lineRule="exact" w:before="0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30"/>
        </w:rPr>
        <w:t>Section B: Literature Review (20 Marks)</w:t>
      </w:r>
    </w:p>
    <w:p>
      <w:pPr>
        <w:autoSpaceDN w:val="0"/>
        <w:autoSpaceDE w:val="0"/>
        <w:widowControl/>
        <w:spacing w:line="332" w:lineRule="exact" w:before="528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1. Introduction to Real Estate Valuation Modeling</w:t>
      </w:r>
    </w:p>
    <w:p>
      <w:pPr>
        <w:autoSpaceDN w:val="0"/>
        <w:autoSpaceDE w:val="0"/>
        <w:widowControl/>
        <w:spacing w:line="352" w:lineRule="exact" w:before="270" w:after="0"/>
        <w:ind w:left="30" w:right="8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Real estate price forecasting constitutes a fundamental problem in computational economics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spatial analysis. The market value of residential properties is determined by a complex,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heterogeneous mixture of physical characteristics (e.g., number of rooms, bedrooms,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structural age), demographic parameters (e.g., neighborhood population and median income),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geographical coordinates (latitude and longitude) representing spatial attributes. Historically, real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estate mass appraisal has transitioned from rigid, parametric econometric models to flexible,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data-driven Computational Intelligence (CI) algorithms. This literature review evaluates the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historical development, methodological frameworks, strengths, and constraints of three dominant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paradigms in valuation modeling: Hedonic Pricing Models (HPM), Tree-Based Ensemble methods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(Random Forest and GBDT/XGBoost), and Deep Learning architectures.</w:t>
      </w:r>
    </w:p>
    <w:p>
      <w:pPr>
        <w:autoSpaceDN w:val="0"/>
        <w:autoSpaceDE w:val="0"/>
        <w:widowControl/>
        <w:spacing w:line="332" w:lineRule="exact" w:before="982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2. Hedonic Price Modeling (Parametric Econometric Approaches)</w:t>
      </w:r>
    </w:p>
    <w:p>
      <w:pPr>
        <w:autoSpaceDN w:val="0"/>
        <w:autoSpaceDE w:val="0"/>
        <w:widowControl/>
        <w:spacing w:line="352" w:lineRule="exact" w:before="270" w:after="0"/>
        <w:ind w:left="30" w:right="8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theoretical foundation of modern real estate valuation originates from Rosen’s Hedonic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Pricing Model (HPM). Rosen posited that goods are valued for their utility-bearing characteristics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rather than the good itself. Consequently, the transaction price of a house can be modeled as a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function of its individual structural, neighborhood, and environmental attributes:</w:t>
      </w:r>
    </w:p>
    <w:p>
      <w:pPr>
        <w:autoSpaceDN w:val="0"/>
        <w:autoSpaceDE w:val="0"/>
        <w:widowControl/>
        <w:spacing w:line="304" w:lineRule="exact" w:before="352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$$P = f(S, N, E) + \epsilon$$</w:t>
      </w:r>
    </w:p>
    <w:p>
      <w:pPr>
        <w:autoSpaceDN w:val="0"/>
        <w:autoSpaceDE w:val="0"/>
        <w:widowControl/>
        <w:spacing w:line="352" w:lineRule="exact" w:before="304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Where $S$ represents structural features, $N$ represents neighborhood demographics, $E$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represents environmental/geographical indicators, and $\epsilon$ is the random error term.</w:t>
      </w:r>
    </w:p>
    <w:p>
      <w:pPr>
        <w:autoSpaceDN w:val="0"/>
        <w:autoSpaceDE w:val="0"/>
        <w:widowControl/>
        <w:spacing w:line="352" w:lineRule="exact" w:before="304" w:after="0"/>
        <w:ind w:left="30" w:right="2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Traditionally, HPM is estimated using parametric techniques such as Ordinary Least Squares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(OLS) linear regression, Ridge regression, or Lasso regression. * </w:t>
      </w:r>
      <w:r>
        <w:rPr>
          <w:rFonts w:ascii="Helvetica" w:hAnsi="Helvetica" w:eastAsia="Helvetica"/>
          <w:b/>
          <w:i w:val="0"/>
          <w:color w:val="333333"/>
          <w:sz w:val="22"/>
        </w:rPr>
        <w:t>Strengths: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The primary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advantage of parametric HPM lies in its statistical transparency and interpretability. OLS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regression outputs explicit coefficients (beta weights) for each characteristic, enabling economists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and appraisers to measure the marginal contribution of individual features (e.g., the exact dollar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value increase associated with adding a bedroom) and perform hypothesis testing via t-statistics. * </w:t>
      </w:r>
      <w:r>
        <w:rPr>
          <w:rFonts w:ascii="Helvetica" w:hAnsi="Helvetica" w:eastAsia="Helvetica"/>
          <w:b/>
          <w:i w:val="0"/>
          <w:color w:val="333333"/>
          <w:sz w:val="22"/>
        </w:rPr>
        <w:t>Limitations and Critique: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Despite its widespread historical adoption, parametric HPM is severely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restricted by several theoretical assumptions. OLS assumes that the relationship between property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attributes and price is strictly linear or log-linear, which fails to capture complex non-linear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dynamics such as the accelerated depreciation of very old properties or diminishing returns on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total rooms. Furthermore, OLS is highly susceptible to </w:t>
      </w:r>
      <w:r>
        <w:rPr>
          <w:rFonts w:ascii="Helvetica" w:hAnsi="Helvetica" w:eastAsia="Helvetica"/>
          <w:b/>
          <w:i w:val="0"/>
          <w:color w:val="333333"/>
          <w:sz w:val="22"/>
        </w:rPr>
        <w:t>multicollinearity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(e.g., the high correlation</w:t>
      </w:r>
    </w:p>
    <w:p>
      <w:pPr>
        <w:sectPr>
          <w:pgSz w:w="11906" w:h="16838"/>
          <w:pgMar w:top="666" w:right="1074" w:bottom="806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autoSpaceDE w:val="0"/>
        <w:widowControl/>
        <w:spacing w:line="336" w:lineRule="exact" w:before="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between the number of rooms and bedrooms) and </w:t>
      </w:r>
      <w:r>
        <w:rPr>
          <w:rFonts w:ascii="Helvetica" w:hAnsi="Helvetica" w:eastAsia="Helvetica"/>
          <w:b/>
          <w:i w:val="0"/>
          <w:color w:val="333333"/>
          <w:sz w:val="22"/>
        </w:rPr>
        <w:t>spatial autocorrelation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, where property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values are geographically clustered, violating the assumption of independent and identically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distributed (i.i.d.) error terms.</w:t>
      </w:r>
    </w:p>
    <w:p>
      <w:pPr>
        <w:autoSpaceDN w:val="0"/>
        <w:autoSpaceDE w:val="0"/>
        <w:widowControl/>
        <w:spacing w:line="332" w:lineRule="exact" w:before="982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3. Non-Parametric Machine Learning &amp; Tree-Based Ensembles</w:t>
      </w:r>
    </w:p>
    <w:p>
      <w:pPr>
        <w:autoSpaceDN w:val="0"/>
        <w:autoSpaceDE w:val="0"/>
        <w:widowControl/>
        <w:spacing w:line="352" w:lineRule="exact" w:before="27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To address the limitations of parametric linearity, researchers have increasingly adopted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non-parametric machine learning models. Unlike HPM, non-parametric algorithms do not assume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 predefined mathematical form for the target function, allowing them to learn arbitrary decision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boundaries directly from empirical data.</w:t>
      </w:r>
    </w:p>
    <w:p>
      <w:pPr>
        <w:autoSpaceDN w:val="0"/>
        <w:autoSpaceDE w:val="0"/>
        <w:widowControl/>
        <w:spacing w:line="302" w:lineRule="exact" w:before="420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2"/>
        </w:rPr>
        <w:t>Random Forest Regressors (Bagging)</w:t>
      </w:r>
    </w:p>
    <w:p>
      <w:pPr>
        <w:autoSpaceDN w:val="0"/>
        <w:autoSpaceDE w:val="0"/>
        <w:widowControl/>
        <w:spacing w:line="352" w:lineRule="exact" w:before="260" w:after="24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Introduced by Breiman, the Random Forest (RF) algorithm is an ensemble method that constructs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 multitude of decision trees during training. To output a prediction, RF averages the outputs of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individual trees (bootstrap aggregation, or bagging), while injecting randomness by selecting a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random subset of features at each split. * </w:t>
      </w:r>
      <w:r>
        <w:rPr>
          <w:rFonts w:ascii="Helvetica" w:hAnsi="Helvetica" w:eastAsia="Helvetica"/>
          <w:b/>
          <w:i w:val="0"/>
          <w:color w:val="333333"/>
          <w:sz w:val="22"/>
        </w:rPr>
        <w:t>Synthesis of Literature: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In comparative studies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968"/>
        <w:gridCol w:w="968"/>
        <w:gridCol w:w="968"/>
        <w:gridCol w:w="968"/>
        <w:gridCol w:w="968"/>
        <w:gridCol w:w="968"/>
        <w:gridCol w:w="968"/>
        <w:gridCol w:w="968"/>
        <w:gridCol w:w="968"/>
        <w:gridCol w:w="968"/>
      </w:tblGrid>
      <w:tr>
        <w:trPr>
          <w:trHeight w:hRule="exact" w:val="352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22"/>
              </w:rPr>
              <w:t xml:space="preserve">mass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22"/>
              </w:rPr>
              <w:t xml:space="preserve">appraisal,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22"/>
              </w:rPr>
              <w:t xml:space="preserve">Random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22"/>
              </w:rPr>
              <w:t xml:space="preserve">Forest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22"/>
              </w:rPr>
              <w:t xml:space="preserve">consistently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22"/>
              </w:rPr>
              <w:t xml:space="preserve">outperforms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22"/>
              </w:rPr>
              <w:t xml:space="preserve">linear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22"/>
              </w:rPr>
              <w:t xml:space="preserve">OLS.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22"/>
              </w:rPr>
              <w:t xml:space="preserve">Antipov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4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22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348" w:lineRule="exact" w:before="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Pokryshevskaya demonstrated that RF handles spatial interactions and multicollinearity natively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without requiring complex variable transformations. Furthermore, because it averages predictions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across hundreds of independent trees, RF exhibits high robustness against overfitting and is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insensitive to outliers—a common occurrence in housing datasets containing luxury estates or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distressed properties.</w:t>
      </w:r>
    </w:p>
    <w:p>
      <w:pPr>
        <w:autoSpaceDN w:val="0"/>
        <w:autoSpaceDE w:val="0"/>
        <w:widowControl/>
        <w:spacing w:line="302" w:lineRule="exact" w:before="420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2"/>
        </w:rPr>
        <w:t>Gradient Boosting and XGBoost (Boosting)</w:t>
      </w:r>
    </w:p>
    <w:p>
      <w:pPr>
        <w:autoSpaceDN w:val="0"/>
        <w:autoSpaceDE w:val="0"/>
        <w:widowControl/>
        <w:spacing w:line="352" w:lineRule="exact" w:before="26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While Random Forest grows trees in parallel, Gradient Boosting Decision Trees (GBDT) build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trees sequentially. Each new tree is trained to predict the residuals (errors) of the preceding trees,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using gradient descent optimization to minimize a loss function. Chen and Guestrin optimized this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paradigm by introducing </w:t>
      </w:r>
      <w:r>
        <w:rPr>
          <w:rFonts w:ascii="Helvetica" w:hAnsi="Helvetica" w:eastAsia="Helvetica"/>
          <w:b/>
          <w:i w:val="0"/>
          <w:color w:val="333333"/>
          <w:sz w:val="22"/>
        </w:rPr>
        <w:t>XGBoost (Extreme Gradient Boosting)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, which incorporates a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regularized objective function to control model complexity and prevent overfitting, alongside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parallelized tree construction. * </w:t>
      </w:r>
      <w:r>
        <w:rPr>
          <w:rFonts w:ascii="Helvetica" w:hAnsi="Helvetica" w:eastAsia="Helvetica"/>
          <w:b/>
          <w:i w:val="0"/>
          <w:color w:val="333333"/>
          <w:sz w:val="22"/>
        </w:rPr>
        <w:t>Synthesis of Literature: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GBDT and XGBoost have emerged as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state-of-the-art for tabular regression tasks. Mullainathan and Spiess highlighted that boosting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algorithms excel at mapping complex coordinate interactions (Latitude and Longitude) to local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neighborhood values, representing a significant improvement over traditional dummy variables for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submarkets. The algorithm's built-in handling of missing values and computational efficiency make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it highly suitable for production-level API deployment.</w:t>
      </w:r>
    </w:p>
    <w:p>
      <w:pPr>
        <w:sectPr>
          <w:pgSz w:w="11906" w:h="16838"/>
          <w:pgMar w:top="680" w:right="1104" w:bottom="75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4. Artificial Neural Networks (Connectionist Systems / Deep Learning)</w:t>
      </w:r>
    </w:p>
    <w:p>
      <w:pPr>
        <w:autoSpaceDN w:val="0"/>
        <w:autoSpaceDE w:val="0"/>
        <w:widowControl/>
        <w:spacing w:line="352" w:lineRule="exact" w:before="27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Artificial Neural Networks (ANNs), particularly Multi-Layer Perceptrons (MLPs), represent another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prominent non-parametric paradigm. Drawing inspiration from biological neural pathways, ANNs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pass input features through multiple hidden layers of interconnected nodes where non-linear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activation functions (e.g., ReLU) are applied.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304" w:after="0"/>
        <w:ind w:left="330" w:right="144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Synthesis of Literature: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In real estate forecasting, ANNs act as universal function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approximators capable of modeling extremely intricate, high-dimensional interactions.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Limsombunchao compared OLS and ANNs on housing datasets and concluded that the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connectionist approach achieves lower Root Mean Squared Error (RMSE) due to its ability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to model complex structural-spatial interactions.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Limitations and Critique: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However, deep learning models present significant drawbacks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when applied to tabular datasets of moderate size (e.g., under 50,000 observations).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Grinsztajn, Oyallon and Varoquaux conducted extensive benchmarks comparing deep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learning architectures to tree ensembles on tabular data, finding that tree-based models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(like XGBoost and Random Forest) consistently outperform ANNs. Neural networks are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highly sensitive to hyperparameter choices, require extensive data normalization, are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computationally expensive to train, and suffer from a complete lack of interpretability (the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"black box" problem), making them less practical for real estate markets where 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transparency is legally or socially required.</w:t>
      </w:r>
    </w:p>
    <w:p>
      <w:pPr>
        <w:autoSpaceDN w:val="0"/>
        <w:autoSpaceDE w:val="0"/>
        <w:widowControl/>
        <w:spacing w:line="332" w:lineRule="exact" w:before="1356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5. Summary and Synthesis of Model Selection</w:t>
      </w:r>
    </w:p>
    <w:p>
      <w:pPr>
        <w:autoSpaceDN w:val="0"/>
        <w:autoSpaceDE w:val="0"/>
        <w:widowControl/>
        <w:spacing w:line="352" w:lineRule="exact" w:before="27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Based on the literature review, the model selections for this project are justified as follows: 1. </w:t>
      </w:r>
      <w:r>
        <w:rPr>
          <w:rFonts w:ascii="Helvetica" w:hAnsi="Helvetica" w:eastAsia="Helvetica"/>
          <w:b/>
          <w:i w:val="0"/>
          <w:color w:val="333333"/>
          <w:sz w:val="22"/>
        </w:rPr>
        <w:t>Linear Regression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serves as the essential parametric baseline, representing traditional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econometric appraisal (HPM) to highlight the performance gains of non-parametric approaches. 2. </w:t>
      </w:r>
      <w:r>
        <w:rPr>
          <w:rFonts w:ascii="Helvetica" w:hAnsi="Helvetica" w:eastAsia="Helvetica"/>
          <w:b/>
          <w:i w:val="0"/>
          <w:color w:val="333333"/>
          <w:sz w:val="22"/>
        </w:rPr>
        <w:t>Random Forest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is selected as a robust bagging ensemble to handle structural multicollinearity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and outlier variance. 3. </w:t>
      </w:r>
      <w:r>
        <w:rPr>
          <w:rFonts w:ascii="Helvetica" w:hAnsi="Helvetica" w:eastAsia="Helvetica"/>
          <w:b/>
          <w:i w:val="0"/>
          <w:color w:val="333333"/>
          <w:sz w:val="22"/>
        </w:rPr>
        <w:t>XGBoost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represents the state-of-the-art regularized boosting paradigm,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selected for its superior predictive performance on tabular coordinate and demographic data.</w:t>
      </w:r>
    </w:p>
    <w:p>
      <w:pPr>
        <w:autoSpaceDN w:val="0"/>
        <w:autoSpaceDE w:val="0"/>
        <w:widowControl/>
        <w:spacing w:line="480" w:lineRule="exact" w:before="994" w:after="0"/>
        <w:ind w:left="30" w:right="432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30"/>
        </w:rPr>
        <w:t xml:space="preserve">Section C: Exploratory Data Analysis (EDA) and Model Influence </w:t>
      </w:r>
      <w:r>
        <w:rPr>
          <w:rFonts w:ascii="Helvetica" w:hAnsi="Helvetica" w:eastAsia="Helvetica"/>
          <w:b/>
          <w:i w:val="0"/>
          <w:color w:val="1F3A52"/>
          <w:sz w:val="30"/>
        </w:rPr>
        <w:t>(10 Marks)</w:t>
      </w:r>
    </w:p>
    <w:p>
      <w:pPr>
        <w:sectPr>
          <w:pgSz w:w="11906" w:h="16838"/>
          <w:pgMar w:top="676" w:right="1104" w:bottom="914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autoSpaceDE w:val="0"/>
        <w:widowControl/>
        <w:spacing w:line="340" w:lineRule="exact" w:before="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Exploratory Data Analysis (EDA) was carried out to understand the structure, distribution,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relationships within the dataset for the real estate price prediction task. The analysis aimed to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identify data quality issues, target distribution, feature behavior, and correlations that affect model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performance and algorithmic choices.</w:t>
      </w:r>
    </w:p>
    <w:p>
      <w:pPr>
        <w:autoSpaceDN w:val="0"/>
        <w:autoSpaceDE w:val="0"/>
        <w:widowControl/>
        <w:spacing w:line="352" w:lineRule="exact" w:before="304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training dataset has 16,512 observations and 11 attributes. These include physical structural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attributes, local demographic indicators, and geographic coordinates, along with the continuous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target variable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TargetPrice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. An initial check showed missing values in the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PropertyAge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feature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(~7.9% of training records) and the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TotalBedrooms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feature (~0.1%). The dataset contains a mix of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numerical (float and integer) and engineered categorical variables, supporting the use of robust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scaling, imputation, and encoding pipelines during model development.</w:t>
      </w:r>
    </w:p>
    <w:p>
      <w:pPr>
        <w:autoSpaceDN w:val="0"/>
        <w:autoSpaceDE w:val="0"/>
        <w:widowControl/>
        <w:spacing w:line="332" w:lineRule="exact" w:before="982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3.1 Target Variable Distribution and Boundary Capping</w:t>
      </w:r>
    </w:p>
    <w:p>
      <w:pPr>
        <w:autoSpaceDN w:val="0"/>
        <w:autoSpaceDE w:val="0"/>
        <w:widowControl/>
        <w:spacing w:line="352" w:lineRule="exact" w:before="270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target variable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TargetPrice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shows the transaction price of properties (scaled by a factor of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100,000, e.g. a target value of 2.3367 represents a price of $233,671.67). Unlike classification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tasks,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TargetPrice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is a continuous numerical variable. Analysis of its distribution showed a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right-skewed layout with a sharp spike at the upper boundary (5.0001), representing a hard price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cap of $500,000 imposed during data collection.</w:t>
      </w:r>
    </w:p>
    <w:p>
      <w:pPr>
        <w:autoSpaceDN w:val="0"/>
        <w:autoSpaceDE w:val="0"/>
        <w:widowControl/>
        <w:spacing w:line="352" w:lineRule="exact" w:before="304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Because of this boundary limit and skewness, standard linear regressions are prone to predicting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negative values or out-of-bounds prices. So, we chose to implement a clipping threshold (capping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predictions at 0.0) in our model inference pipeline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app.py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and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06_model_inference.ipynb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).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Furthermore, this boundary behavior supported the use of non-parametric tree ensembles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(XGBoost and Random Forest), which construct split boundaries and handle capped limits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skewness natively without requiring mathematical target transformations.</w:t>
      </w:r>
    </w:p>
    <w:p>
      <w:pPr>
        <w:autoSpaceDN w:val="0"/>
        <w:autoSpaceDE w:val="0"/>
        <w:widowControl/>
        <w:spacing w:line="332" w:lineRule="exact" w:before="982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3.2 Numerical Feature Distributions</w:t>
      </w:r>
    </w:p>
    <w:p>
      <w:pPr>
        <w:autoSpaceDN w:val="0"/>
        <w:autoSpaceDE w:val="0"/>
        <w:widowControl/>
        <w:spacing w:line="352" w:lineRule="exact" w:before="270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distributions of numerical features were examined using Kernel Density Estimate (KDE) plot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curves to identify skewness, outliers, and general trends (see Figure 1).</w:t>
      </w:r>
    </w:p>
    <w:p>
      <w:pPr>
        <w:sectPr>
          <w:pgSz w:w="11906" w:h="16838"/>
          <w:pgMar w:top="680" w:right="1104" w:bottom="1440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94730" cy="42494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4730" cy="424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2" w:lineRule="exact" w:before="178" w:after="0"/>
        <w:ind w:left="30" w:right="8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Applicant area income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IncomeLevel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) showed a right-skewed distribution, indicating that most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property neighborhoods belong to middle-income classes, while a few represent high-income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districts. Average occupancy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AvgOccupancy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) and rooms per household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RoomsPerHousehold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)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exhibited extreme right-skewed distributions with heavy outlier tails (e.g., maximum occupancy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values reaching 1,243 and rooms exceeding 50 per household).</w:t>
      </w:r>
    </w:p>
    <w:p>
      <w:pPr>
        <w:autoSpaceDN w:val="0"/>
        <w:autoSpaceDE w:val="0"/>
        <w:widowControl/>
        <w:spacing w:line="352" w:lineRule="exact" w:before="304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Geographical coordinates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Latitude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and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Longitude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) displayed multi-modal spatial distributions,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representing major population and housing clusters (e.g., coastal and metropolitan hubs).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Because of these spatial and skewed patterns, standard linear scaling would be heavily distorted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by extreme outliers. This influenced the decision to use robust tree-based ensembles (XGBoost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and Random Forest) that are rank-based and invariant to monotonic scale transformations,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making them immune to outlier scaling bias.</w:t>
      </w:r>
    </w:p>
    <w:p>
      <w:pPr>
        <w:autoSpaceDN w:val="0"/>
        <w:autoSpaceDE w:val="0"/>
        <w:widowControl/>
        <w:spacing w:line="330" w:lineRule="exact" w:before="984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3.3 Categorical and Engineered Feature Analysis</w:t>
      </w:r>
    </w:p>
    <w:p>
      <w:pPr>
        <w:autoSpaceDN w:val="0"/>
        <w:autoSpaceDE w:val="0"/>
        <w:widowControl/>
        <w:spacing w:line="352" w:lineRule="exact" w:before="270" w:after="0"/>
        <w:ind w:left="30" w:right="2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To capture the non-linear depreciation of housing values over time, the numerical feature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PropertyAge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was engineered into a categorical feature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PropertyAge_bins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) using structural age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brackets: 'New' ($\le 15$ years), 'Moderate' ($16-35$ years), and 'Old' ($&gt;35$ years) (see Figure</w:t>
      </w:r>
    </w:p>
    <w:p>
      <w:pPr>
        <w:sectPr>
          <w:pgSz w:w="11906" w:h="16838"/>
          <w:pgMar w:top="720" w:right="1074" w:bottom="856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2).</w:t>
      </w:r>
    </w:p>
    <w:p>
      <w:pPr>
        <w:autoSpaceDN w:val="0"/>
        <w:autoSpaceDE w:val="0"/>
        <w:widowControl/>
        <w:spacing w:line="240" w:lineRule="auto" w:before="4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94730" cy="45478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4730" cy="4547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2" w:lineRule="exact" w:before="176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To mathematically prove that these binned age groups represent statistically distinct house prices,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we conducted formal hypothesis testing: * </w:t>
      </w:r>
      <w:r>
        <w:rPr>
          <w:rFonts w:ascii="Helvetica" w:hAnsi="Helvetica" w:eastAsia="Helvetica"/>
          <w:b/>
          <w:i w:val="0"/>
          <w:color w:val="333333"/>
          <w:sz w:val="22"/>
        </w:rPr>
        <w:t>ANOVA F-Test: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 one-way Analysis of Variance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(ANOVA) test across the three age categories resulted in a highly significant </w:t>
      </w:r>
      <w:r>
        <w:rPr>
          <w:rFonts w:ascii="Helvetica" w:hAnsi="Helvetica" w:eastAsia="Helvetica"/>
          <w:b/>
          <w:i w:val="0"/>
          <w:color w:val="333333"/>
          <w:sz w:val="22"/>
        </w:rPr>
        <w:t xml:space="preserve">F-statistic of 113.82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and a </w:t>
      </w:r>
      <w:r>
        <w:rPr>
          <w:rFonts w:ascii="Helvetica" w:hAnsi="Helvetica" w:eastAsia="Helvetica"/>
          <w:b/>
          <w:i w:val="0"/>
          <w:color w:val="333333"/>
          <w:sz w:val="22"/>
        </w:rPr>
        <w:t>p-value of 0.0000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($p &lt; 0.05$). This statistically confirms that the mean housing prices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among 'New', 'Moderate', and 'Old' properties are significantly different. * </w:t>
      </w:r>
      <w:r>
        <w:rPr>
          <w:rFonts w:ascii="Helvetica" w:hAnsi="Helvetica" w:eastAsia="Helvetica"/>
          <w:b/>
          <w:i w:val="0"/>
          <w:color w:val="333333"/>
          <w:sz w:val="22"/>
        </w:rPr>
        <w:t>Student's T-Test: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An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independent two-sample t-test between the 'New' and 'Old' property subsets yielded a </w:t>
      </w:r>
      <w:r>
        <w:rPr>
          <w:rFonts w:ascii="Helvetica" w:hAnsi="Helvetica" w:eastAsia="Helvetica"/>
          <w:b/>
          <w:i w:val="0"/>
          <w:color w:val="333333"/>
          <w:sz w:val="22"/>
        </w:rPr>
        <w:t xml:space="preserve">t-statistic </w:t>
      </w:r>
      <w:r>
        <w:rPr>
          <w:rFonts w:ascii="Helvetica" w:hAnsi="Helvetica" w:eastAsia="Helvetica"/>
          <w:b/>
          <w:i w:val="0"/>
          <w:color w:val="333333"/>
          <w:sz w:val="22"/>
        </w:rPr>
        <w:t>of 14.85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and a </w:t>
      </w:r>
      <w:r>
        <w:rPr>
          <w:rFonts w:ascii="Helvetica" w:hAnsi="Helvetica" w:eastAsia="Helvetica"/>
          <w:b/>
          <w:i w:val="0"/>
          <w:color w:val="333333"/>
          <w:sz w:val="22"/>
        </w:rPr>
        <w:t>p-value of 0.0000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, confirming that new properties command a statistically higher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price profile.</w:t>
      </w:r>
    </w:p>
    <w:p>
      <w:pPr>
        <w:autoSpaceDN w:val="0"/>
        <w:autoSpaceDE w:val="0"/>
        <w:widowControl/>
        <w:spacing w:line="352" w:lineRule="exact" w:before="304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This statistical validation justified our encoding strategy (Ordinal Encoding) in the preprocessing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pipeline, allowing tree splits in XGBoost and Random Forest to branch on clean structural age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thresholds.</w:t>
      </w:r>
    </w:p>
    <w:p>
      <w:pPr>
        <w:autoSpaceDN w:val="0"/>
        <w:autoSpaceDE w:val="0"/>
        <w:widowControl/>
        <w:spacing w:line="330" w:lineRule="exact" w:before="984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3.4 Correlation Analysis</w:t>
      </w:r>
    </w:p>
    <w:p>
      <w:pPr>
        <w:sectPr>
          <w:pgSz w:w="11906" w:h="16838"/>
          <w:pgMar w:top="680" w:right="1104" w:bottom="958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autoSpaceDE w:val="0"/>
        <w:widowControl/>
        <w:spacing w:line="328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 correlation heatmap was created to look at linear relationships between numerical features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the target variable (see Figure 3).</w:t>
      </w:r>
    </w:p>
    <w:p>
      <w:pPr>
        <w:autoSpaceDN w:val="0"/>
        <w:autoSpaceDE w:val="0"/>
        <w:widowControl/>
        <w:spacing w:line="240" w:lineRule="auto" w:before="4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94730" cy="55448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4730" cy="5544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 strong positive correlation was found between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TotalRooms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and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TotalBedrooms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(correlation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coefficient </w:t>
      </w:r>
      <w:r>
        <w:rPr>
          <w:rFonts w:ascii="Symbol" w:hAnsi="Symbol" w:eastAsia="Symbol"/>
          <w:b w:val="0"/>
          <w:i w:val="0"/>
          <w:color w:val="333333"/>
          <w:sz w:val="22"/>
        </w:rPr>
        <w:t>≈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0.85). In linear models, this causes severe multicollinearity, inflating the variance of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regression coefficients and rendering the model unstable. To balance this, we engineered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BedroomsRatio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($r \approx -0.26$).</w:t>
      </w:r>
    </w:p>
    <w:p>
      <w:pPr>
        <w:autoSpaceDN w:val="0"/>
        <w:autoSpaceDE w:val="0"/>
        <w:widowControl/>
        <w:spacing w:line="352" w:lineRule="exact" w:before="30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Regarding the target variable,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IncomeLevel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showed a strong positive correlation with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TargetPrice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($r \approx 0.69$), identifying it as the single most predictive feature. Coordinates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Latitude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and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Longitude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showed weak individual linear correlations ($r \approx -0.08$ and $r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\approx -0.05$), yet they are highly predictive of house price through geographic interaction. This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required using models like XGBoost that split coordinates in multi-dimensional space to capture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localized value groups.</w:t>
      </w:r>
    </w:p>
    <w:p>
      <w:pPr>
        <w:sectPr>
          <w:pgSz w:w="11906" w:h="16838"/>
          <w:pgMar w:top="680" w:right="1134" w:bottom="830" w:left="11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4"/>
        <w:ind w:left="0" w:right="0"/>
      </w:pPr>
    </w:p>
    <w:p>
      <w:pPr>
        <w:autoSpaceDN w:val="0"/>
        <w:autoSpaceDE w:val="0"/>
        <w:widowControl/>
        <w:spacing w:line="332" w:lineRule="exact" w:before="384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Key Insights from EDA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7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dataset has missing values in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PropertyAge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, which were dropped during training to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preserve distribution shapes, but handled via median imputer in production to handle user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default inputs.</w:t>
      </w:r>
    </w:p>
    <w:p>
      <w:pPr>
        <w:autoSpaceDN w:val="0"/>
        <w:tabs>
          <w:tab w:pos="660" w:val="left"/>
        </w:tabs>
        <w:autoSpaceDE w:val="0"/>
        <w:widowControl/>
        <w:spacing w:line="304" w:lineRule="exact" w:before="198" w:after="0"/>
        <w:ind w:left="3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The target price is right-skewed with a cap at 5.0, requiring clipping bounds in inference.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Indicators like occupancy and rooms per household have heavy outlier tails, directing our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choice toward tree-based ensembles (XGBoost/Random Forest) that are naturally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outlier-resistant.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Location coordinates do not exhibit simple linear relationships, calling for non-parametric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model architectures.</w:t>
      </w:r>
    </w:p>
    <w:p>
      <w:pPr>
        <w:autoSpaceDN w:val="0"/>
        <w:autoSpaceDE w:val="0"/>
        <w:widowControl/>
        <w:spacing w:line="352" w:lineRule="exact" w:before="634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 general, the exploratory data analysis offered a solid basis for feature engineering, model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selection, and evaluation strategies used in this project.</w:t>
      </w:r>
    </w:p>
    <w:p>
      <w:pPr>
        <w:autoSpaceDN w:val="0"/>
        <w:autoSpaceDE w:val="0"/>
        <w:widowControl/>
        <w:spacing w:line="412" w:lineRule="exact" w:before="1062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30"/>
        </w:rPr>
        <w:t>Section D: System Architecture (10 Marks)</w:t>
      </w:r>
    </w:p>
    <w:p>
      <w:pPr>
        <w:autoSpaceDN w:val="0"/>
        <w:autoSpaceDE w:val="0"/>
        <w:widowControl/>
        <w:spacing w:line="332" w:lineRule="exact" w:before="528" w:after="34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1. Processing Pipeline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9678"/>
      </w:tblGrid>
      <w:tr>
        <w:trPr>
          <w:trHeight w:hRule="exact" w:val="3066"/>
        </w:trPr>
        <w:tc>
          <w:tcPr>
            <w:tcW w:type="dxa" w:w="963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32" w:after="0"/>
              <w:ind w:left="156" w:right="144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 xml:space="preserve">graph TD A[estate_train.csv / Raw Data] --&gt; B[Data Cleaning: Drop ID, Drop </w:t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 xml:space="preserve">PropertyAge NaNs] B --&gt; C[Feature Engineering: PropertyAge Binning] C --&gt; </w:t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 xml:space="preserve">D[ColumnTransformer Preprocessing: Imputation + StandardScaler + OrdinalEncoder] </w:t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 xml:space="preserve">D --&gt; E[Train-Test Split 80/20] E --&gt; F[GridSearchCV Hyperparameter Tuning] F --&gt; </w:t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 xml:space="preserve">G[Linear, RF, and XGBoost Best Estimators] G --&gt; H[Model Serialization: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 xml:space="preserve">joblib.dump] H --&gt; I[Flask Web Server: app.py] J[estate_test.csv] --&gt; K[Impute </w:t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 xml:space="preserve">Test Age via Train Median] K --&gt; L[Test set Binning] L --&gt; M[Fitted Preprocessor </w:t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 xml:space="preserve">Transform] M --&gt; N[Predict TargetPrice using Saved XGBoost Model] N --&gt;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>O[submission.csv]</w:t>
            </w:r>
          </w:p>
        </w:tc>
      </w:tr>
    </w:tbl>
    <w:p>
      <w:pPr>
        <w:autoSpaceDN w:val="0"/>
        <w:autoSpaceDE w:val="0"/>
        <w:widowControl/>
        <w:spacing w:line="332" w:lineRule="exact" w:before="286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2. Model Selection Justification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70" w:after="0"/>
        <w:ind w:left="330" w:right="576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Linear Regression: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Baseline regression model, fast and simple but restricted to linear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relationships.</w:t>
      </w:r>
    </w:p>
    <w:p>
      <w:pPr>
        <w:sectPr>
          <w:pgSz w:w="11906" w:h="16838"/>
          <w:pgMar w:top="714" w:right="1104" w:bottom="1160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tabs>
          <w:tab w:pos="660" w:val="left"/>
        </w:tabs>
        <w:autoSpaceDE w:val="0"/>
        <w:widowControl/>
        <w:spacing w:line="328" w:lineRule="exact" w:before="0" w:after="0"/>
        <w:ind w:left="3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Random Forest: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Averages many independent decision trees. By introducing randomness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during tree splitting, it reduces variance, increases stability, and provides robust predictions.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XGBoost: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 powerful gradient boosted decision trees algorithm. It trains trees sequentially,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where each tree corrects errors of the previous ones. It is highly optimized, handles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complex non-linear relationships, and achieves outstanding accuracy.</w:t>
      </w:r>
    </w:p>
    <w:p>
      <w:pPr>
        <w:autoSpaceDN w:val="0"/>
        <w:autoSpaceDE w:val="0"/>
        <w:widowControl/>
        <w:spacing w:line="412" w:lineRule="exact" w:before="1436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30"/>
        </w:rPr>
        <w:t>Section E: Full Model Evaluation &amp; Implementation (40 Marks)</w:t>
      </w:r>
    </w:p>
    <w:p>
      <w:pPr>
        <w:autoSpaceDN w:val="0"/>
        <w:autoSpaceDE w:val="0"/>
        <w:widowControl/>
        <w:spacing w:line="332" w:lineRule="exact" w:before="528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1. Performance Results (Test Set)</w:t>
      </w:r>
    </w:p>
    <w:p>
      <w:pPr>
        <w:autoSpaceDN w:val="0"/>
        <w:autoSpaceDE w:val="0"/>
        <w:widowControl/>
        <w:spacing w:line="352" w:lineRule="exact" w:before="270" w:after="424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models were trained using 6-fold cross-validation on the training set and evaluated on the test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set: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1392"/>
        </w:trPr>
        <w:tc>
          <w:tcPr>
            <w:tcW w:type="dxa" w:w="1926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2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70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>Model</w:t>
            </w:r>
          </w:p>
        </w:tc>
        <w:tc>
          <w:tcPr>
            <w:tcW w:type="dxa" w:w="1930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2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76" w:after="0"/>
              <w:ind w:left="23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 xml:space="preserve">Tuning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>Hyperparameters</w:t>
            </w:r>
          </w:p>
        </w:tc>
        <w:tc>
          <w:tcPr>
            <w:tcW w:type="dxa" w:w="192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2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70" w:after="0"/>
              <w:ind w:left="23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>$R^2$ Score</w:t>
            </w:r>
          </w:p>
        </w:tc>
        <w:tc>
          <w:tcPr>
            <w:tcW w:type="dxa" w:w="1926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2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4" w:after="0"/>
              <w:ind w:left="230" w:right="28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 xml:space="preserve">Root Mean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 xml:space="preserve">Squared Error </w:t>
            </w: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>(RMSE)</w:t>
            </w:r>
          </w:p>
        </w:tc>
        <w:tc>
          <w:tcPr>
            <w:tcW w:type="dxa" w:w="192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2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76" w:after="0"/>
              <w:ind w:left="232" w:right="28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 xml:space="preserve">Mean Absolute </w:t>
            </w: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>Error (MAE)</w:t>
            </w:r>
          </w:p>
        </w:tc>
      </w:tr>
      <w:tr>
        <w:trPr>
          <w:trHeight w:hRule="exact" w:val="1088"/>
        </w:trPr>
        <w:tc>
          <w:tcPr>
            <w:tcW w:type="dxa" w:w="1926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4" w:after="0"/>
              <w:ind w:left="232" w:right="576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 xml:space="preserve">Linear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Regression</w:t>
            </w:r>
          </w:p>
        </w:tc>
        <w:tc>
          <w:tcPr>
            <w:tcW w:type="dxa" w:w="1930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316" w:after="0"/>
              <w:ind w:left="23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None</w:t>
            </w:r>
          </w:p>
        </w:tc>
        <w:tc>
          <w:tcPr>
            <w:tcW w:type="dxa" w:w="192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316" w:after="0"/>
              <w:ind w:left="2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0.6521</w:t>
            </w:r>
          </w:p>
        </w:tc>
        <w:tc>
          <w:tcPr>
            <w:tcW w:type="dxa" w:w="1926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316" w:after="0"/>
              <w:ind w:left="2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0.6693</w:t>
            </w:r>
          </w:p>
        </w:tc>
        <w:tc>
          <w:tcPr>
            <w:tcW w:type="dxa" w:w="192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316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0.4805</w:t>
            </w:r>
          </w:p>
        </w:tc>
      </w:tr>
      <w:tr>
        <w:trPr>
          <w:trHeight w:hRule="exact" w:val="2000"/>
        </w:trPr>
        <w:tc>
          <w:tcPr>
            <w:tcW w:type="dxa" w:w="1926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77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Random Forest</w:t>
            </w:r>
          </w:p>
        </w:tc>
        <w:tc>
          <w:tcPr>
            <w:tcW w:type="dxa" w:w="1930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4" w:after="0"/>
              <w:ind w:left="234" w:right="0" w:firstLine="0"/>
              <w:jc w:val="left"/>
            </w:pPr>
            <w:r>
              <w:rPr>
                <w:shd w:val="clear" w:color="auto" w:fill="f4f4f4"/>
                <w:rFonts w:ascii="Courier" w:hAnsi="Courier" w:eastAsia="Courier"/>
                <w:b w:val="0"/>
                <w:i w:val="0"/>
                <w:color w:val="333333"/>
                <w:sz w:val="19"/>
              </w:rPr>
              <w:t>n_estimators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: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200, </w:t>
            </w:r>
            <w:r>
              <w:br/>
            </w:r>
            <w:r>
              <w:rPr>
                <w:shd w:val="clear" w:color="auto" w:fill="f4f4f4"/>
                <w:rFonts w:ascii="Courier" w:hAnsi="Courier" w:eastAsia="Courier"/>
                <w:b w:val="0"/>
                <w:i w:val="0"/>
                <w:color w:val="333333"/>
                <w:sz w:val="19"/>
              </w:rPr>
              <w:t>max_depth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: 12, </w:t>
            </w:r>
            <w:r>
              <w:br/>
            </w:r>
            <w:r>
              <w:rPr>
                <w:shd w:val="clear" w:color="auto" w:fill="f4f4f4"/>
                <w:rFonts w:ascii="Courier" w:hAnsi="Courier" w:eastAsia="Courier"/>
                <w:b w:val="0"/>
                <w:i w:val="0"/>
                <w:color w:val="333333"/>
                <w:sz w:val="19"/>
              </w:rPr>
              <w:t>min_samples_leaf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: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2</w:t>
            </w:r>
          </w:p>
        </w:tc>
        <w:tc>
          <w:tcPr>
            <w:tcW w:type="dxa" w:w="192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0" w:val="left"/>
              </w:tabs>
              <w:autoSpaceDE w:val="0"/>
              <w:widowControl/>
              <w:spacing w:line="306" w:lineRule="exact" w:before="728" w:after="0"/>
              <w:ind w:left="14" w:right="100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0.7854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>f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:</w:t>
            </w:r>
          </w:p>
        </w:tc>
        <w:tc>
          <w:tcPr>
            <w:tcW w:type="dxa" w:w="1926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772" w:after="0"/>
              <w:ind w:left="2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0.5257</w:t>
            </w:r>
          </w:p>
        </w:tc>
        <w:tc>
          <w:tcPr>
            <w:tcW w:type="dxa" w:w="192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772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0.3522</w:t>
            </w:r>
          </w:p>
        </w:tc>
      </w:tr>
      <w:tr>
        <w:trPr>
          <w:trHeight w:hRule="exact" w:val="2000"/>
        </w:trPr>
        <w:tc>
          <w:tcPr>
            <w:tcW w:type="dxa" w:w="1926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774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XGBoost</w:t>
            </w:r>
          </w:p>
        </w:tc>
        <w:tc>
          <w:tcPr>
            <w:tcW w:type="dxa" w:w="1930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4" w:after="0"/>
              <w:ind w:left="234" w:right="144" w:firstLine="0"/>
              <w:jc w:val="left"/>
            </w:pPr>
            <w:r>
              <w:rPr>
                <w:shd w:val="clear" w:color="auto" w:fill="f4f4f4"/>
                <w:rFonts w:ascii="Courier" w:hAnsi="Courier" w:eastAsia="Courier"/>
                <w:b w:val="0"/>
                <w:i w:val="0"/>
                <w:color w:val="333333"/>
                <w:sz w:val="19"/>
              </w:rPr>
              <w:t>n_estimators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: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200, </w:t>
            </w:r>
            <w:r>
              <w:br/>
            </w:r>
            <w:r>
              <w:rPr>
                <w:shd w:val="clear" w:color="auto" w:fill="f4f4f4"/>
                <w:rFonts w:ascii="Courier" w:hAnsi="Courier" w:eastAsia="Courier"/>
                <w:b w:val="0"/>
                <w:i w:val="0"/>
                <w:color w:val="333333"/>
                <w:sz w:val="19"/>
              </w:rPr>
              <w:t>max_depth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: 6, </w:t>
            </w:r>
            <w:r>
              <w:br/>
            </w:r>
            <w:r>
              <w:rPr>
                <w:shd w:val="clear" w:color="auto" w:fill="f4f4f4"/>
                <w:rFonts w:ascii="Courier" w:hAnsi="Courier" w:eastAsia="Courier"/>
                <w:b w:val="0"/>
                <w:i w:val="0"/>
                <w:color w:val="333333"/>
                <w:sz w:val="19"/>
              </w:rPr>
              <w:t>learning_rate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: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0.1</w:t>
            </w:r>
          </w:p>
        </w:tc>
        <w:tc>
          <w:tcPr>
            <w:tcW w:type="dxa" w:w="192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774" w:after="0"/>
              <w:ind w:left="23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0.8256</w:t>
            </w:r>
          </w:p>
        </w:tc>
        <w:tc>
          <w:tcPr>
            <w:tcW w:type="dxa" w:w="1926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774" w:after="0"/>
              <w:ind w:left="23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0.4739</w:t>
            </w:r>
          </w:p>
        </w:tc>
        <w:tc>
          <w:tcPr>
            <w:tcW w:type="dxa" w:w="192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774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0.3124</w:t>
            </w:r>
          </w:p>
        </w:tc>
      </w:tr>
    </w:tbl>
    <w:p>
      <w:pPr>
        <w:autoSpaceDN w:val="0"/>
        <w:autoSpaceDE w:val="0"/>
        <w:widowControl/>
        <w:spacing w:line="330" w:lineRule="exact" w:before="288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2. Web Application Setup</w:t>
      </w:r>
    </w:p>
    <w:p>
      <w:pPr>
        <w:sectPr>
          <w:pgSz w:w="11906" w:h="16838"/>
          <w:pgMar w:top="680" w:right="1104" w:bottom="1198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tabs>
          <w:tab w:pos="660" w:val="left"/>
        </w:tabs>
        <w:autoSpaceDE w:val="0"/>
        <w:widowControl/>
        <w:spacing w:line="340" w:lineRule="exact" w:before="0" w:after="0"/>
        <w:ind w:left="330" w:right="72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Backend (</w:t>
      </w:r>
      <w:r>
        <w:rPr>
          <w:shd w:val="clear" w:color="auto" w:fill="f4f4f4"/>
          <w:rFonts w:ascii="Courier" w:hAnsi="Courier" w:eastAsia="Courier"/>
          <w:b/>
          <w:i w:val="0"/>
          <w:color w:val="333333"/>
          <w:sz w:val="19"/>
        </w:rPr>
        <w:t>app.py</w:t>
      </w:r>
      <w:r>
        <w:rPr>
          <w:rFonts w:ascii="Helvetica" w:hAnsi="Helvetica" w:eastAsia="Helvetica"/>
          <w:b/>
          <w:i w:val="0"/>
          <w:color w:val="333333"/>
          <w:sz w:val="22"/>
        </w:rPr>
        <w:t>):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Utilizes Flask. Loads serialized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preprocessor.joblib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, </w:t>
      </w:r>
      <w:r>
        <w:br/>
      </w:r>
      <w:r>
        <w:tab/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linear_regression_model.joblib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,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xgboost_model.joblib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, and </w:t>
      </w:r>
      <w:r>
        <w:br/>
      </w:r>
      <w:r>
        <w:tab/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random_forest_model.joblib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on startup. Serves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/predict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endpoint returning JSON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predictions.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Frontend (</w:t>
      </w:r>
      <w:r>
        <w:rPr>
          <w:shd w:val="clear" w:color="auto" w:fill="f4f4f4"/>
          <w:rFonts w:ascii="Courier" w:hAnsi="Courier" w:eastAsia="Courier"/>
          <w:b/>
          <w:i w:val="0"/>
          <w:color w:val="333333"/>
          <w:sz w:val="19"/>
        </w:rPr>
        <w:t>templates/index.html</w:t>
      </w:r>
      <w:r>
        <w:rPr>
          <w:rFonts w:ascii="Helvetica" w:hAnsi="Helvetica" w:eastAsia="Helvetica"/>
          <w:b/>
          <w:i w:val="0"/>
          <w:color w:val="333333"/>
          <w:sz w:val="22"/>
        </w:rPr>
        <w:t>):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Glassmorphic web panel with Outfit typography and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dynamic dark mode sliders for all 10 features: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432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Direct sliders: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IncomeLevel, PropertyAge, TotalRooms, TotalBedrooms, AvgOccupancy,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RoomsPerHousehold, BedroomsRatio.</w:t>
      </w:r>
    </w:p>
    <w:p>
      <w:pPr>
        <w:autoSpaceDN w:val="0"/>
        <w:tabs>
          <w:tab w:pos="660" w:val="left"/>
        </w:tabs>
        <w:autoSpaceDE w:val="0"/>
        <w:widowControl/>
        <w:spacing w:line="304" w:lineRule="exact" w:before="198" w:after="0"/>
        <w:ind w:left="3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Direct inputs: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NeighborhoodPop, Latitude, Longitude.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Live updates are sent asynchronously to the backend on slider adjust, updating predicted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prices dynamically with a neon green layout.</w:t>
      </w:r>
    </w:p>
    <w:p>
      <w:pPr>
        <w:autoSpaceDN w:val="0"/>
        <w:autoSpaceDE w:val="0"/>
        <w:widowControl/>
        <w:spacing w:line="412" w:lineRule="exact" w:before="1436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30"/>
        </w:rPr>
        <w:t>Section F: Critical Evaluation &amp; Limitations (10 Marks)</w:t>
      </w:r>
    </w:p>
    <w:p>
      <w:pPr>
        <w:autoSpaceDN w:val="0"/>
        <w:autoSpaceDE w:val="0"/>
        <w:widowControl/>
        <w:spacing w:line="332" w:lineRule="exact" w:before="528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1. Domain Suitability of the Model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7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Random Forest Regressor is highly suited for real estate valuation. It is robust to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outliers (which are common in real estate due to luxury housing spikes) and captures the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complex interactions between geographic coordinates and average occupancy.</w:t>
      </w:r>
    </w:p>
    <w:p>
      <w:pPr>
        <w:autoSpaceDN w:val="0"/>
        <w:autoSpaceDE w:val="0"/>
        <w:widowControl/>
        <w:spacing w:line="332" w:lineRule="exact" w:before="816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2. Suitability of Deep Learning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70" w:after="0"/>
        <w:ind w:left="330" w:right="72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While Deep Learning (e.g. MLPs) can approximate the spatial price function, it is less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suitable here due to: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Data scale: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Tabular dataset size (15k rows) is too small to train large network parameters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without massive overfitting.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Interpretability: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Real estate appraisers require structural rules (e.g., how the bedrooms ratio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impacts price) which are inspectable in tree splits but completely hidden in deep neural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weights.</w:t>
      </w:r>
    </w:p>
    <w:p>
      <w:pPr>
        <w:autoSpaceDN w:val="0"/>
        <w:autoSpaceDE w:val="0"/>
        <w:widowControl/>
        <w:spacing w:line="332" w:lineRule="exact" w:before="816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3. Limitations of the Current Approach</w:t>
      </w:r>
    </w:p>
    <w:p>
      <w:pPr>
        <w:sectPr>
          <w:pgSz w:w="11906" w:h="16838"/>
          <w:pgMar w:top="680" w:right="1104" w:bottom="946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tabs>
          <w:tab w:pos="630" w:val="left"/>
        </w:tabs>
        <w:autoSpaceDE w:val="0"/>
        <w:widowControl/>
        <w:spacing w:line="328" w:lineRule="exact" w:before="0" w:after="0"/>
        <w:ind w:left="300" w:right="144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Temporal Shift: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The model does not include time metrics. Inflation, interest rates, and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seasonal spikes are completely ignored.</w:t>
      </w:r>
    </w:p>
    <w:p>
      <w:pPr>
        <w:autoSpaceDN w:val="0"/>
        <w:tabs>
          <w:tab w:pos="630" w:val="left"/>
        </w:tabs>
        <w:autoSpaceDE w:val="0"/>
        <w:widowControl/>
        <w:spacing w:line="352" w:lineRule="exact" w:before="150" w:after="0"/>
        <w:ind w:left="300" w:right="432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Geographical Constraints: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The model is bound to the coordinate boundaries of the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training dataset. It cannot predict prices for properties outside these geographical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boundaries.</w:t>
      </w:r>
    </w:p>
    <w:p>
      <w:pPr>
        <w:autoSpaceDN w:val="0"/>
        <w:autoSpaceDE w:val="0"/>
        <w:widowControl/>
        <w:spacing w:line="332" w:lineRule="exact" w:before="81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4. Future Suggestions</w:t>
      </w:r>
    </w:p>
    <w:p>
      <w:pPr>
        <w:autoSpaceDN w:val="0"/>
        <w:tabs>
          <w:tab w:pos="630" w:val="left"/>
        </w:tabs>
        <w:autoSpaceDE w:val="0"/>
        <w:widowControl/>
        <w:spacing w:line="352" w:lineRule="exact" w:before="170" w:after="0"/>
        <w:ind w:left="30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We successfully implemented XGBoost and improved the $R^2$ score to </w:t>
      </w:r>
      <w:r>
        <w:rPr>
          <w:rFonts w:ascii="Helvetica" w:hAnsi="Helvetica" w:eastAsia="Helvetica"/>
          <w:b/>
          <w:i w:val="0"/>
          <w:color w:val="333333"/>
          <w:sz w:val="22"/>
        </w:rPr>
        <w:t>0.8256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. Future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work could incorporate LightGBM to speed up training.</w:t>
      </w:r>
    </w:p>
    <w:p>
      <w:pPr>
        <w:autoSpaceDN w:val="0"/>
        <w:tabs>
          <w:tab w:pos="630" w:val="left"/>
        </w:tabs>
        <w:autoSpaceDE w:val="0"/>
        <w:widowControl/>
        <w:spacing w:line="352" w:lineRule="exact" w:before="150" w:after="0"/>
        <w:ind w:left="300" w:right="72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Incorporate SHAP (Shapley Additive exPlanations) values to provide local feature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contribution visualization in the web application UI.</w:t>
      </w:r>
    </w:p>
    <w:sectPr w:rsidR="00FC693F" w:rsidRPr="0006063C" w:rsidSect="00034616">
      <w:pgSz w:w="11906" w:h="16838"/>
      <w:pgMar w:top="680" w:right="1440" w:bottom="1440" w:left="115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