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sectPr>
          <w:pgSz w:w="11906" w:h="16838"/>
          <w:pgMar w:top="680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Kernel Density Estimate (KDE) plot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curves to identify skewness, outliers, and general trends (see Figure 1).</w:t>
      </w:r>
    </w:p>
    <w:p>
      <w:pPr>
        <w:sectPr>
          <w:pgSz w:w="11906" w:h="16838"/>
          <w:pgMar w:top="676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8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 and rooms 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exhibited extreme right-skewed distributions with heavy outlier tails (e.g., maximum occupancy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reaching 1,243 and 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these spatial and skewed patterns, standard linear scaling would be heavily distorted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extreme outliers. This influenced the decision to use robust tree-based ensembles (XGBoost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Random Forest) that are rank-based and invariant to monotonic scale transformations,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them immune to outlier scaling bias.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brackets: 'New' ($\le 15$ years), 'Moderate' ($16-35$ years), and 'Old' ($&gt;35$ years) (see Figure</w:t>
      </w:r>
    </w:p>
    <w:p>
      <w:pPr>
        <w:sectPr>
          <w:pgSz w:w="11906" w:h="16838"/>
          <w:pgMar w:top="720" w:right="1074" w:bottom="85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2).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sectPr>
          <w:pgSz w:w="11906" w:h="16838"/>
          <w:pgMar w:top="680" w:right="1104" w:bottom="95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3).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680" w:right="1134" w:bottom="83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sectPr>
          <w:pgSz w:w="11906" w:h="16838"/>
          <w:pgMar w:top="714" w:right="1104" w:bottom="11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sectPr>
          <w:pgSz w:w="11906" w:h="16838"/>
          <w:pgMar w:top="680" w:right="1104" w:bottom="11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0" w:lineRule="exact" w:before="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autoSpaceDE w:val="0"/>
        <w:widowControl/>
        <w:spacing w:line="344" w:lineRule="exact" w:before="166" w:after="0"/>
        <w:ind w:left="660" w:right="288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90" w:val="left"/>
        </w:tabs>
        <w:autoSpaceDE w:val="0"/>
        <w:widowControl/>
        <w:spacing w:line="304" w:lineRule="exact" w:before="19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sectPr>
          <w:pgSz w:w="11906" w:h="16838"/>
          <w:pgMar w:top="680" w:right="1104" w:bottom="138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76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