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w:hAnsi="Meiryo" w:eastAsia="Meiryo"/>
          <w:b/>
          <w:color w:val="000000"/>
          <w:sz w:val="40"/>
        </w:rPr>
        <w:t>EG品質の現状とDEG色相悪化への対応</w:t>
      </w:r>
    </w:p>
    <w:p>
      <w:pPr>
        <w:jc w:val="center"/>
      </w:pPr>
      <w:r>
        <w:rPr>
          <w:rFonts w:ascii="Meiryo" w:hAnsi="Meiryo" w:eastAsia="Meiryo"/>
          <w:b w:val="0"/>
          <w:color w:val="404040"/>
          <w:sz w:val="24"/>
        </w:rPr>
        <w:t>現状の事実・着色の見立て・対応方針の整理</w:t>
      </w:r>
    </w:p>
    <w:p>
      <w:pPr>
        <w:jc w:val="center"/>
      </w:pPr>
      <w:r>
        <w:rPr>
          <w:rFonts w:ascii="Meiryo" w:hAnsi="Meiryo" w:eastAsia="Meiryo"/>
          <w:b w:val="0"/>
          <w:color w:val="404040"/>
          <w:sz w:val="20"/>
        </w:rPr>
        <w:t>2026-06-20　プロセス技術部　EOGモデルチェンジPJ</w:t>
      </w:r>
    </w:p>
    <w:p/>
    <w:p>
      <w:pPr>
        <w:pStyle w:val="Heading1"/>
      </w:pPr>
      <w:r>
        <w:rPr>
          <w:rFonts w:ascii="Meiryo" w:hAnsi="Meiryo" w:eastAsia="Meiryo"/>
          <w:b/>
          <w:color w:val="000000"/>
          <w:sz w:val="30"/>
        </w:rPr>
        <w:t>1. はじめに（この資料の目的）</w:t>
      </w:r>
    </w:p>
    <w:p>
      <w:pPr>
        <w:spacing w:after="80"/>
      </w:pPr>
      <w:r>
        <w:rPr>
          <w:rFonts w:ascii="Meiryo" w:hAnsi="Meiryo" w:eastAsia="Meiryo"/>
          <w:b w:val="0"/>
          <w:color w:val="000000"/>
          <w:sz w:val="21"/>
        </w:rPr>
        <w:t>EO触媒の選択率低下で原料EO中のアルデヒドが増え、製品MEGのUV上昇・製品DEGの色相悪化が起きている。</w:t>
      </w:r>
    </w:p>
    <w:p>
      <w:pPr>
        <w:spacing w:after="80"/>
      </w:pPr>
      <w:r>
        <w:rPr>
          <w:rFonts w:ascii="Meiryo" w:hAnsi="Meiryo" w:eastAsia="Meiryo"/>
          <w:b w:val="0"/>
          <w:color w:val="000000"/>
          <w:sz w:val="21"/>
        </w:rPr>
        <w:t>足元の原料アルデヒド水準はM50想定と同等以上であり、対策が決まらないとM50で常態化する懸念がある。</w:t>
      </w:r>
    </w:p>
    <w:p>
      <w:pPr>
        <w:spacing w:after="80"/>
      </w:pPr>
      <w:r>
        <w:rPr>
          <w:rFonts w:ascii="Meiryo" w:hAnsi="Meiryo" w:eastAsia="Meiryo"/>
          <w:b w:val="0"/>
          <w:color w:val="000000"/>
          <w:sz w:val="21"/>
        </w:rPr>
        <w:t>本資料は、確認された事実、着色の見立て、これまでの運転対応の効き、今後の対応方針を一枚ずつ整理し、</w:t>
      </w:r>
    </w:p>
    <w:p>
      <w:pPr>
        <w:spacing w:after="80"/>
      </w:pPr>
      <w:r>
        <w:rPr>
          <w:rFonts w:ascii="Meiryo" w:hAnsi="Meiryo" w:eastAsia="Meiryo"/>
          <w:b w:val="0"/>
          <w:color w:val="000000"/>
          <w:sz w:val="21"/>
        </w:rPr>
        <w:t>スタートアップ（7/5予定）と対策会議（6/22〜7/3）・承認会議（6/25）での認識合わせに使う。</w:t>
      </w:r>
    </w:p>
    <w:p>
      <w:pPr>
        <w:pStyle w:val="Heading1"/>
      </w:pPr>
      <w:r>
        <w:rPr>
          <w:rFonts w:ascii="Meiryo" w:hAnsi="Meiryo" w:eastAsia="Meiryo"/>
          <w:b/>
          <w:color w:val="000000"/>
          <w:sz w:val="30"/>
        </w:rPr>
        <w:t>2. 結論（要点）</w:t>
      </w:r>
    </w:p>
    <w:p>
      <w:pPr>
        <w:pStyle w:val="ListBullet"/>
        <w:spacing w:after="40"/>
      </w:pPr>
      <w:r>
        <w:rPr>
          <w:rFonts w:ascii="Meiryo" w:hAnsi="Meiryo" w:eastAsia="Meiryo"/>
          <w:b w:val="0"/>
          <w:color w:val="000000"/>
          <w:sz w:val="21"/>
        </w:rPr>
        <w:t>色相悪化はタンク保管中に進む。採取直後のストリーム品はAPHA0で、タンク品で色が育つ。</w:t>
      </w:r>
    </w:p>
    <w:p>
      <w:pPr>
        <w:pStyle w:val="ListBullet"/>
        <w:spacing w:after="40"/>
      </w:pPr>
      <w:r>
        <w:rPr>
          <w:rFonts w:ascii="Meiryo" w:hAnsi="Meiryo" w:eastAsia="Meiryo"/>
          <w:b w:val="0"/>
          <w:color w:val="000000"/>
          <w:sz w:val="21"/>
        </w:rPr>
        <w:t>これまでの運転対応で色相に効いたのはリン酸Na添加のみ。NaOH・温度・回収率の操作は色相には効かなかった。</w:t>
      </w:r>
    </w:p>
    <w:p>
      <w:pPr>
        <w:pStyle w:val="ListBullet"/>
        <w:spacing w:after="40"/>
      </w:pPr>
      <w:r>
        <w:rPr>
          <w:rFonts w:ascii="Meiryo" w:hAnsi="Meiryo" w:eastAsia="Meiryo"/>
          <w:b w:val="0"/>
          <w:color w:val="000000"/>
          <w:sz w:val="21"/>
        </w:rPr>
        <w:t>見立ては、原料アルデヒド増を起点に、前駆体が下流へ運ばれ、製品タンクの長期保管で鎖が伸びて450nmの色がつく筋。</w:t>
      </w:r>
    </w:p>
    <w:p>
      <w:pPr>
        <w:pStyle w:val="ListBullet"/>
        <w:spacing w:after="40"/>
      </w:pPr>
      <w:r>
        <w:rPr>
          <w:rFonts w:ascii="Meiryo" w:hAnsi="Meiryo" w:eastAsia="Meiryo"/>
          <w:b w:val="0"/>
          <w:color w:val="000000"/>
          <w:sz w:val="21"/>
        </w:rPr>
        <w:t>酸素雰囲気（船・ローリー）では色相悪化が止まる。これは鉄さびを介したラジカル重合が液の着色の主役でないことを示す。</w:t>
      </w:r>
    </w:p>
    <w:p>
      <w:pPr>
        <w:pStyle w:val="ListBullet"/>
        <w:spacing w:after="40"/>
      </w:pPr>
      <w:r>
        <w:rPr>
          <w:rFonts w:ascii="Meiryo" w:hAnsi="Meiryo" w:eastAsia="Meiryo"/>
          <w:b w:val="0"/>
          <w:color w:val="000000"/>
          <w:sz w:val="21"/>
        </w:rPr>
        <w:t>脱水塔下流のMEG塔リボイラーに穴が見つかり水が混入していた。水分の整理は穴の前後で分けて見直す必要がある。</w:t>
      </w:r>
    </w:p>
    <w:p>
      <w:pPr>
        <w:pStyle w:val="ListBullet"/>
        <w:spacing w:after="40"/>
      </w:pPr>
      <w:r>
        <w:rPr>
          <w:rFonts w:ascii="Meiryo" w:hAnsi="Meiryo" w:eastAsia="Meiryo"/>
          <w:b w:val="0"/>
          <w:color w:val="000000"/>
          <w:sz w:val="21"/>
        </w:rPr>
        <w:t>対応は、原料アルデヒドを入れない入口対策を軸に、リン酸の継続投入、スタートアップ運転条件の確定で進める。</w:t>
      </w:r>
    </w:p>
    <w:p>
      <w:pPr>
        <w:pStyle w:val="Heading1"/>
      </w:pPr>
      <w:r>
        <w:rPr>
          <w:rFonts w:ascii="Meiryo" w:hAnsi="Meiryo" w:eastAsia="Meiryo"/>
          <w:b/>
          <w:color w:val="000000"/>
          <w:sz w:val="30"/>
        </w:rPr>
        <w:t>3. 現状（事実）</w:t>
      </w:r>
    </w:p>
    <w:p>
      <w:pPr>
        <w:pStyle w:val="Heading2"/>
      </w:pPr>
      <w:r>
        <w:rPr>
          <w:rFonts w:ascii="Meiryo" w:hAnsi="Meiryo" w:eastAsia="Meiryo"/>
          <w:b/>
          <w:color w:val="000000"/>
          <w:sz w:val="25"/>
        </w:rPr>
        <w:t>3.1 製品別の品質状況</w:t>
      </w:r>
    </w:p>
    <w:p>
      <w:pPr>
        <w:spacing w:after="80"/>
      </w:pPr>
      <w:r>
        <w:rPr>
          <w:rFonts w:ascii="Meiryo" w:hAnsi="Meiryo" w:eastAsia="Meiryo"/>
          <w:b w:val="0"/>
          <w:color w:val="000000"/>
          <w:sz w:val="21"/>
        </w:rPr>
        <w:t>製品ごとの品質状況と特徴的な事象を次に示す。色相悪化はタンク保管中に進み、採取直後のストリーム品はAPHA0であることが要点である。</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color="auto" w:fill="D9D9D9"/>
          </w:tcPr>
          <w:p>
            <w:pPr>
              <w:spacing w:after="20" w:line="252" w:lineRule="auto"/>
              <w:jc w:val="center"/>
            </w:pPr>
            <w:r>
              <w:rPr>
                <w:rFonts w:ascii="Meiryo" w:hAnsi="Meiryo" w:eastAsia="Meiryo"/>
                <w:b/>
                <w:color w:val="000000"/>
                <w:sz w:val="19"/>
              </w:rPr>
              <w:t>製品／系</w:t>
            </w:r>
          </w:p>
        </w:tc>
        <w:tc>
          <w:tcPr>
            <w:tcW w:type="dxa" w:w="3969"/>
            <w:shd w:val="clear" w:color="auto" w:fill="D9D9D9"/>
          </w:tcPr>
          <w:p>
            <w:pPr>
              <w:spacing w:after="20" w:line="252" w:lineRule="auto"/>
              <w:jc w:val="center"/>
            </w:pPr>
            <w:r>
              <w:rPr>
                <w:rFonts w:ascii="Meiryo" w:hAnsi="Meiryo" w:eastAsia="Meiryo"/>
                <w:b/>
                <w:color w:val="000000"/>
                <w:sz w:val="19"/>
              </w:rPr>
              <w:t>状況</w:t>
            </w:r>
          </w:p>
        </w:tc>
        <w:tc>
          <w:tcPr>
            <w:tcW w:type="dxa" w:w="3969"/>
            <w:shd w:val="clear" w:color="auto" w:fill="D9D9D9"/>
          </w:tcPr>
          <w:p>
            <w:pPr>
              <w:spacing w:after="20" w:line="252" w:lineRule="auto"/>
              <w:jc w:val="center"/>
            </w:pPr>
            <w:r>
              <w:rPr>
                <w:rFonts w:ascii="Meiryo" w:hAnsi="Meiryo" w:eastAsia="Meiryo"/>
                <w:b/>
                <w:color w:val="000000"/>
                <w:sz w:val="19"/>
              </w:rPr>
              <w:t>特徴的な事象</w:t>
            </w:r>
          </w:p>
        </w:tc>
      </w:tr>
      <w:tr>
        <w:tc>
          <w:tcPr>
            <w:tcW w:type="dxa" w:w="1474"/>
          </w:tcPr>
          <w:p>
            <w:pPr>
              <w:spacing w:after="20" w:line="252" w:lineRule="auto"/>
              <w:jc w:val="center"/>
            </w:pPr>
            <w:r>
              <w:rPr>
                <w:rFonts w:ascii="Meiryo" w:hAnsi="Meiryo" w:eastAsia="Meiryo"/>
                <w:b w:val="0"/>
                <w:color w:val="000000"/>
                <w:sz w:val="19"/>
              </w:rPr>
              <w:t>MEG</w:t>
            </w:r>
          </w:p>
        </w:tc>
        <w:tc>
          <w:tcPr>
            <w:tcW w:type="dxa" w:w="3969"/>
          </w:tcPr>
          <w:p>
            <w:pPr>
              <w:spacing w:after="20" w:line="252" w:lineRule="auto"/>
              <w:jc w:val="left"/>
            </w:pPr>
            <w:r>
              <w:rPr>
                <w:rFonts w:ascii="Meiryo" w:hAnsi="Meiryo" w:eastAsia="Meiryo"/>
                <w:b w:val="0"/>
                <w:color w:val="000000"/>
                <w:sz w:val="19"/>
              </w:rPr>
              <w:t>G-ALDはリン酸添加で運転管理値内に抑制。UV/HUV220は東レ連絡値の水準まで上昇。</w:t>
            </w:r>
          </w:p>
        </w:tc>
        <w:tc>
          <w:tcPr>
            <w:tcW w:type="dxa" w:w="3969"/>
          </w:tcPr>
          <w:p>
            <w:pPr>
              <w:spacing w:after="20" w:line="252" w:lineRule="auto"/>
              <w:jc w:val="left"/>
            </w:pPr>
            <w:r>
              <w:rPr>
                <w:rFonts w:ascii="Meiryo" w:hAnsi="Meiryo" w:eastAsia="Meiryo"/>
                <w:b w:val="0"/>
                <w:color w:val="000000"/>
                <w:sz w:val="19"/>
              </w:rPr>
              <w:t>C-1404 BTMでは1ppm未満だがC-1501 TOPで上昇。塔内でのアルデヒド生成を示唆。</w:t>
            </w:r>
          </w:p>
        </w:tc>
      </w:tr>
      <w:tr>
        <w:tc>
          <w:tcPr>
            <w:tcW w:type="dxa" w:w="1474"/>
          </w:tcPr>
          <w:p>
            <w:pPr>
              <w:spacing w:after="20" w:line="252" w:lineRule="auto"/>
              <w:jc w:val="center"/>
            </w:pPr>
            <w:r>
              <w:rPr>
                <w:rFonts w:ascii="Meiryo" w:hAnsi="Meiryo" w:eastAsia="Meiryo"/>
                <w:b w:val="0"/>
                <w:color w:val="000000"/>
                <w:sz w:val="19"/>
              </w:rPr>
              <w:t>DEG</w:t>
            </w:r>
          </w:p>
        </w:tc>
        <w:tc>
          <w:tcPr>
            <w:tcW w:type="dxa" w:w="3969"/>
          </w:tcPr>
          <w:p>
            <w:pPr>
              <w:spacing w:after="20" w:line="252" w:lineRule="auto"/>
              <w:jc w:val="left"/>
            </w:pPr>
            <w:r>
              <w:rPr>
                <w:rFonts w:ascii="Meiryo" w:hAnsi="Meiryo" w:eastAsia="Meiryo"/>
                <w:b w:val="0"/>
                <w:color w:val="000000"/>
                <w:sz w:val="19"/>
              </w:rPr>
              <w:t>タンク品はAPHA30で規格10を超過。ストリーム品はAPHA0。</w:t>
            </w:r>
          </w:p>
        </w:tc>
        <w:tc>
          <w:tcPr>
            <w:tcW w:type="dxa" w:w="3969"/>
          </w:tcPr>
          <w:p>
            <w:pPr>
              <w:spacing w:after="20" w:line="252" w:lineRule="auto"/>
              <w:jc w:val="left"/>
            </w:pPr>
            <w:r>
              <w:rPr>
                <w:rFonts w:ascii="Meiryo" w:hAnsi="Meiryo" w:eastAsia="Meiryo"/>
                <w:b w:val="0"/>
                <w:color w:val="000000"/>
                <w:sz w:val="19"/>
              </w:rPr>
              <w:t>リン酸継続投入後にT-615で色相が改善する傾向。タンク保管中に色が育つ。</w:t>
            </w:r>
          </w:p>
        </w:tc>
      </w:tr>
      <w:tr>
        <w:tc>
          <w:tcPr>
            <w:tcW w:type="dxa" w:w="1474"/>
          </w:tcPr>
          <w:p>
            <w:pPr>
              <w:spacing w:after="20" w:line="252" w:lineRule="auto"/>
              <w:jc w:val="center"/>
            </w:pPr>
            <w:r>
              <w:rPr>
                <w:rFonts w:ascii="Meiryo" w:hAnsi="Meiryo" w:eastAsia="Meiryo"/>
                <w:b w:val="0"/>
                <w:color w:val="000000"/>
                <w:sz w:val="19"/>
              </w:rPr>
              <w:t>TEG</w:t>
            </w:r>
          </w:p>
        </w:tc>
        <w:tc>
          <w:tcPr>
            <w:tcW w:type="dxa" w:w="3969"/>
          </w:tcPr>
          <w:p>
            <w:pPr>
              <w:spacing w:after="20" w:line="252" w:lineRule="auto"/>
              <w:jc w:val="left"/>
            </w:pPr>
            <w:r>
              <w:rPr>
                <w:rFonts w:ascii="Meiryo" w:hAnsi="Meiryo" w:eastAsia="Meiryo"/>
                <w:b w:val="0"/>
                <w:color w:val="000000"/>
                <w:sz w:val="19"/>
              </w:rPr>
              <w:t>運転管理値を含む全品質規格内。</w:t>
            </w:r>
          </w:p>
        </w:tc>
        <w:tc>
          <w:tcPr>
            <w:tcW w:type="dxa" w:w="3969"/>
          </w:tcPr>
          <w:p>
            <w:pPr>
              <w:spacing w:after="20" w:line="252" w:lineRule="auto"/>
              <w:jc w:val="left"/>
            </w:pPr>
            <w:r>
              <w:rPr>
                <w:rFonts w:ascii="Meiryo" w:hAnsi="Meiryo" w:eastAsia="Meiryo"/>
                <w:b w:val="0"/>
                <w:color w:val="000000"/>
                <w:sz w:val="19"/>
              </w:rPr>
              <w:t>酸価指標は高め。東洋紡からTEG酸化指標へのコメントあり。</w:t>
            </w:r>
          </w:p>
        </w:tc>
      </w:tr>
      <w:tr>
        <w:tc>
          <w:tcPr>
            <w:tcW w:type="dxa" w:w="1474"/>
          </w:tcPr>
          <w:p>
            <w:pPr>
              <w:spacing w:after="20" w:line="252" w:lineRule="auto"/>
              <w:jc w:val="center"/>
            </w:pPr>
            <w:r>
              <w:rPr>
                <w:rFonts w:ascii="Meiryo" w:hAnsi="Meiryo" w:eastAsia="Meiryo"/>
                <w:b w:val="0"/>
                <w:color w:val="000000"/>
                <w:sz w:val="19"/>
              </w:rPr>
              <w:t>原料EO・原料水</w:t>
            </w:r>
          </w:p>
        </w:tc>
        <w:tc>
          <w:tcPr>
            <w:tcW w:type="dxa" w:w="3969"/>
          </w:tcPr>
          <w:p>
            <w:pPr>
              <w:spacing w:after="20" w:line="252" w:lineRule="auto"/>
              <w:jc w:val="left"/>
            </w:pPr>
            <w:r>
              <w:rPr>
                <w:rFonts w:ascii="Meiryo" w:hAnsi="Meiryo" w:eastAsia="Meiryo"/>
                <w:b w:val="0"/>
                <w:color w:val="000000"/>
                <w:sz w:val="19"/>
              </w:rPr>
              <w:t>高アルデヒド条件で運転。原料水のA-ALDは過去最大相当の23ppm、F-ALDは過去範囲内の4ppm。</w:t>
            </w:r>
          </w:p>
        </w:tc>
        <w:tc>
          <w:tcPr>
            <w:tcW w:type="dxa" w:w="3969"/>
          </w:tcPr>
          <w:p>
            <w:pPr>
              <w:spacing w:after="20" w:line="252" w:lineRule="auto"/>
              <w:jc w:val="left"/>
            </w:pPr>
            <w:r>
              <w:rPr>
                <w:rFonts w:ascii="Meiryo" w:hAnsi="Meiryo" w:eastAsia="Meiryo"/>
                <w:b w:val="0"/>
                <w:color w:val="000000"/>
                <w:sz w:val="19"/>
              </w:rPr>
              <w:t>原料アルデヒド水準がM50想定以上で、M50常態化の懸念につながる。</w:t>
            </w:r>
          </w:p>
        </w:tc>
      </w:tr>
    </w:tbl>
    <w:p>
      <w:pPr>
        <w:spacing w:after="40"/>
      </w:pPr>
    </w:p>
    <w:p>
      <w:pPr>
        <w:spacing w:after="80"/>
      </w:pPr>
      <w:r>
        <w:rPr>
          <w:rFonts w:ascii="Meiryo" w:hAnsi="Meiryo" w:eastAsia="Meiryo"/>
          <w:b w:val="0"/>
          <w:color w:val="000000"/>
          <w:sz w:val="21"/>
        </w:rPr>
        <w:t>顧客の対応窓口は、MEG（K値・HUV220）が東レ、TEG酸化指標が東洋紡、DEG色相がレゾナックである。</w:t>
      </w:r>
    </w:p>
    <w:p>
      <w:pPr>
        <w:pStyle w:val="Heading2"/>
      </w:pPr>
      <w:r>
        <w:rPr>
          <w:rFonts w:ascii="Meiryo" w:hAnsi="Meiryo" w:eastAsia="Meiryo"/>
          <w:b/>
          <w:color w:val="000000"/>
          <w:sz w:val="25"/>
        </w:rPr>
        <w:t>3.2 運転対応の実績</w:t>
      </w:r>
    </w:p>
    <w:p>
      <w:pPr>
        <w:spacing w:after="80"/>
      </w:pPr>
      <w:r>
        <w:rPr>
          <w:rFonts w:ascii="Meiryo" w:hAnsi="Meiryo" w:eastAsia="Meiryo"/>
          <w:b w:val="0"/>
          <w:color w:val="000000"/>
          <w:sz w:val="21"/>
        </w:rPr>
        <w:t>色相とUVに対して試した運転操作と、その効きを次に示す。</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082"/>
            <w:shd w:val="clear" w:color="auto" w:fill="D9D9D9"/>
          </w:tcPr>
          <w:p>
            <w:pPr>
              <w:spacing w:after="20" w:line="252" w:lineRule="auto"/>
              <w:jc w:val="center"/>
            </w:pPr>
            <w:r>
              <w:rPr>
                <w:rFonts w:ascii="Meiryo" w:hAnsi="Meiryo" w:eastAsia="Meiryo"/>
                <w:b/>
                <w:color w:val="000000"/>
                <w:sz w:val="19"/>
              </w:rPr>
              <w:t>操作</w:t>
            </w:r>
          </w:p>
        </w:tc>
        <w:tc>
          <w:tcPr>
            <w:tcW w:type="dxa" w:w="1814"/>
            <w:shd w:val="clear" w:color="auto" w:fill="D9D9D9"/>
          </w:tcPr>
          <w:p>
            <w:pPr>
              <w:spacing w:after="20" w:line="252" w:lineRule="auto"/>
              <w:jc w:val="center"/>
            </w:pPr>
            <w:r>
              <w:rPr>
                <w:rFonts w:ascii="Meiryo" w:hAnsi="Meiryo" w:eastAsia="Meiryo"/>
                <w:b/>
                <w:color w:val="000000"/>
                <w:sz w:val="19"/>
              </w:rPr>
              <w:t>期間</w:t>
            </w:r>
          </w:p>
        </w:tc>
        <w:tc>
          <w:tcPr>
            <w:tcW w:type="dxa" w:w="1701"/>
            <w:shd w:val="clear" w:color="auto" w:fill="D9D9D9"/>
          </w:tcPr>
          <w:p>
            <w:pPr>
              <w:spacing w:after="20" w:line="252" w:lineRule="auto"/>
              <w:jc w:val="center"/>
            </w:pPr>
            <w:r>
              <w:rPr>
                <w:rFonts w:ascii="Meiryo" w:hAnsi="Meiryo" w:eastAsia="Meiryo"/>
                <w:b/>
                <w:color w:val="000000"/>
                <w:sz w:val="19"/>
              </w:rPr>
              <w:t>HUV220低減</w:t>
            </w:r>
          </w:p>
        </w:tc>
        <w:tc>
          <w:tcPr>
            <w:tcW w:type="dxa" w:w="1701"/>
            <w:shd w:val="clear" w:color="auto" w:fill="D9D9D9"/>
          </w:tcPr>
          <w:p>
            <w:pPr>
              <w:spacing w:after="20" w:line="252" w:lineRule="auto"/>
              <w:jc w:val="center"/>
            </w:pPr>
            <w:r>
              <w:rPr>
                <w:rFonts w:ascii="Meiryo" w:hAnsi="Meiryo" w:eastAsia="Meiryo"/>
                <w:b/>
                <w:color w:val="000000"/>
                <w:sz w:val="19"/>
              </w:rPr>
              <w:t>DEG色相改善</w:t>
            </w:r>
          </w:p>
        </w:tc>
      </w:tr>
      <w:tr>
        <w:tc>
          <w:tcPr>
            <w:tcW w:type="dxa" w:w="4082"/>
          </w:tcPr>
          <w:p>
            <w:pPr>
              <w:spacing w:after="20" w:line="252" w:lineRule="auto"/>
              <w:jc w:val="left"/>
            </w:pPr>
            <w:r>
              <w:rPr>
                <w:rFonts w:ascii="Meiryo" w:hAnsi="Meiryo" w:eastAsia="Meiryo"/>
                <w:b w:val="0"/>
                <w:color w:val="000000"/>
                <w:sz w:val="19"/>
              </w:rPr>
              <w:t>NaOH添加</w:t>
            </w:r>
          </w:p>
        </w:tc>
        <w:tc>
          <w:tcPr>
            <w:tcW w:type="dxa" w:w="1814"/>
          </w:tcPr>
          <w:p>
            <w:pPr>
              <w:spacing w:after="20" w:line="252" w:lineRule="auto"/>
              <w:jc w:val="center"/>
            </w:pPr>
            <w:r>
              <w:rPr>
                <w:rFonts w:ascii="Meiryo" w:hAnsi="Meiryo" w:eastAsia="Meiryo"/>
                <w:b w:val="0"/>
                <w:color w:val="000000"/>
                <w:sz w:val="19"/>
              </w:rPr>
              <w:t>2/26〜3/30</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なし</w:t>
            </w:r>
          </w:p>
        </w:tc>
      </w:tr>
      <w:tr>
        <w:tc>
          <w:tcPr>
            <w:tcW w:type="dxa" w:w="4082"/>
          </w:tcPr>
          <w:p>
            <w:pPr>
              <w:spacing w:after="20" w:line="252" w:lineRule="auto"/>
              <w:jc w:val="left"/>
            </w:pPr>
            <w:r>
              <w:rPr>
                <w:rFonts w:ascii="Meiryo" w:hAnsi="Meiryo" w:eastAsia="Meiryo"/>
                <w:b w:val="0"/>
                <w:color w:val="000000"/>
                <w:sz w:val="19"/>
              </w:rPr>
              <w:t>EG-BL回収率ダウン</w:t>
            </w:r>
          </w:p>
        </w:tc>
        <w:tc>
          <w:tcPr>
            <w:tcW w:type="dxa" w:w="1814"/>
          </w:tcPr>
          <w:p>
            <w:pPr>
              <w:spacing w:after="20" w:line="252" w:lineRule="auto"/>
              <w:jc w:val="center"/>
            </w:pPr>
            <w:r>
              <w:rPr>
                <w:rFonts w:ascii="Meiryo" w:hAnsi="Meiryo" w:eastAsia="Meiryo"/>
                <w:b w:val="0"/>
                <w:color w:val="000000"/>
                <w:sz w:val="19"/>
              </w:rPr>
              <w:t>3/5〜4/16</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なし</w:t>
            </w:r>
          </w:p>
        </w:tc>
      </w:tr>
      <w:tr>
        <w:tc>
          <w:tcPr>
            <w:tcW w:type="dxa" w:w="4082"/>
          </w:tcPr>
          <w:p>
            <w:pPr>
              <w:spacing w:after="20" w:line="252" w:lineRule="auto"/>
              <w:jc w:val="left"/>
            </w:pPr>
            <w:r>
              <w:rPr>
                <w:rFonts w:ascii="Meiryo" w:hAnsi="Meiryo" w:eastAsia="Meiryo"/>
                <w:b w:val="0"/>
                <w:color w:val="000000"/>
                <w:sz w:val="19"/>
              </w:rPr>
              <w:t>C-1501塔底温度ダウン（166〜167℃）</w:t>
            </w:r>
          </w:p>
        </w:tc>
        <w:tc>
          <w:tcPr>
            <w:tcW w:type="dxa" w:w="1814"/>
          </w:tcPr>
          <w:p>
            <w:pPr>
              <w:spacing w:after="20" w:line="252" w:lineRule="auto"/>
              <w:jc w:val="center"/>
            </w:pPr>
            <w:r>
              <w:rPr>
                <w:rFonts w:ascii="Meiryo" w:hAnsi="Meiryo" w:eastAsia="Meiryo"/>
                <w:b w:val="0"/>
                <w:color w:val="000000"/>
                <w:sz w:val="19"/>
              </w:rPr>
              <w:t>3月下旬〜</w:t>
            </w:r>
          </w:p>
        </w:tc>
        <w:tc>
          <w:tcPr>
            <w:tcW w:type="dxa" w:w="1701"/>
          </w:tcPr>
          <w:p>
            <w:pPr>
              <w:spacing w:after="20" w:line="252" w:lineRule="auto"/>
              <w:jc w:val="center"/>
            </w:pPr>
            <w:r>
              <w:rPr>
                <w:rFonts w:ascii="Meiryo" w:hAnsi="Meiryo" w:eastAsia="Meiryo"/>
                <w:b w:val="0"/>
                <w:color w:val="000000"/>
                <w:sz w:val="19"/>
              </w:rPr>
              <w:t>あり</w:t>
            </w:r>
          </w:p>
        </w:tc>
        <w:tc>
          <w:tcPr>
            <w:tcW w:type="dxa" w:w="1701"/>
          </w:tcPr>
          <w:p>
            <w:pPr>
              <w:spacing w:after="20" w:line="252" w:lineRule="auto"/>
              <w:jc w:val="center"/>
            </w:pPr>
            <w:r>
              <w:rPr>
                <w:rFonts w:ascii="Meiryo" w:hAnsi="Meiryo" w:eastAsia="Meiryo"/>
                <w:b w:val="0"/>
                <w:color w:val="000000"/>
                <w:sz w:val="19"/>
              </w:rPr>
              <w:t>なし</w:t>
            </w:r>
          </w:p>
        </w:tc>
      </w:tr>
      <w:tr>
        <w:tc>
          <w:tcPr>
            <w:tcW w:type="dxa" w:w="4082"/>
          </w:tcPr>
          <w:p>
            <w:pPr>
              <w:spacing w:after="20" w:line="252" w:lineRule="auto"/>
              <w:jc w:val="left"/>
            </w:pPr>
            <w:r>
              <w:rPr>
                <w:rFonts w:ascii="Meiryo" w:hAnsi="Meiryo" w:eastAsia="Meiryo"/>
                <w:b w:val="0"/>
                <w:color w:val="000000"/>
                <w:sz w:val="19"/>
              </w:rPr>
              <w:t>V-1403圧力ダウン（0.70→0.65MPaG）</w:t>
            </w:r>
          </w:p>
        </w:tc>
        <w:tc>
          <w:tcPr>
            <w:tcW w:type="dxa" w:w="1814"/>
          </w:tcPr>
          <w:p>
            <w:pPr>
              <w:spacing w:after="20" w:line="252" w:lineRule="auto"/>
              <w:jc w:val="center"/>
            </w:pPr>
            <w:r>
              <w:rPr>
                <w:rFonts w:ascii="Meiryo" w:hAnsi="Meiryo" w:eastAsia="Meiryo"/>
                <w:b w:val="0"/>
                <w:color w:val="000000"/>
                <w:sz w:val="19"/>
              </w:rPr>
              <w:t>3/30〜</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なし</w:t>
            </w:r>
          </w:p>
        </w:tc>
      </w:tr>
      <w:tr>
        <w:tc>
          <w:tcPr>
            <w:tcW w:type="dxa" w:w="4082"/>
          </w:tcPr>
          <w:p>
            <w:pPr>
              <w:spacing w:after="20" w:line="252" w:lineRule="auto"/>
              <w:jc w:val="left"/>
            </w:pPr>
            <w:r>
              <w:rPr>
                <w:rFonts w:ascii="Meiryo" w:hAnsi="Meiryo" w:eastAsia="Meiryo"/>
                <w:b w:val="0"/>
                <w:color w:val="000000"/>
                <w:sz w:val="19"/>
              </w:rPr>
              <w:t>MEG-R量低減（8.5→5t/h）</w:t>
            </w:r>
          </w:p>
        </w:tc>
        <w:tc>
          <w:tcPr>
            <w:tcW w:type="dxa" w:w="1814"/>
          </w:tcPr>
          <w:p>
            <w:pPr>
              <w:spacing w:after="20" w:line="252" w:lineRule="auto"/>
              <w:jc w:val="center"/>
            </w:pPr>
            <w:r>
              <w:rPr>
                <w:rFonts w:ascii="Meiryo" w:hAnsi="Meiryo" w:eastAsia="Meiryo"/>
                <w:b w:val="0"/>
                <w:color w:val="000000"/>
                <w:sz w:val="19"/>
              </w:rPr>
              <w:t>4/18〜4/24</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なし</w:t>
            </w:r>
          </w:p>
        </w:tc>
      </w:tr>
      <w:tr>
        <w:tc>
          <w:tcPr>
            <w:tcW w:type="dxa" w:w="4082"/>
          </w:tcPr>
          <w:p>
            <w:pPr>
              <w:spacing w:after="20" w:line="252" w:lineRule="auto"/>
              <w:jc w:val="left"/>
            </w:pPr>
            <w:r>
              <w:rPr>
                <w:rFonts w:ascii="Meiryo" w:hAnsi="Meiryo" w:eastAsia="Meiryo"/>
                <w:b w:val="0"/>
                <w:color w:val="000000"/>
                <w:sz w:val="19"/>
              </w:rPr>
              <w:t>Na₃PO₄添加（G-ALD抑制目的）</w:t>
            </w:r>
          </w:p>
        </w:tc>
        <w:tc>
          <w:tcPr>
            <w:tcW w:type="dxa" w:w="1814"/>
          </w:tcPr>
          <w:p>
            <w:pPr>
              <w:spacing w:after="20" w:line="252" w:lineRule="auto"/>
              <w:jc w:val="center"/>
            </w:pPr>
            <w:r>
              <w:rPr>
                <w:rFonts w:ascii="Meiryo" w:hAnsi="Meiryo" w:eastAsia="Meiryo"/>
                <w:b w:val="0"/>
                <w:color w:val="000000"/>
                <w:sz w:val="19"/>
              </w:rPr>
              <w:t>4/20〜継続</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あり</w:t>
            </w:r>
          </w:p>
        </w:tc>
      </w:tr>
      <w:tr>
        <w:tc>
          <w:tcPr>
            <w:tcW w:type="dxa" w:w="4082"/>
          </w:tcPr>
          <w:p>
            <w:pPr>
              <w:spacing w:after="20" w:line="252" w:lineRule="auto"/>
              <w:jc w:val="left"/>
            </w:pPr>
            <w:r>
              <w:rPr>
                <w:rFonts w:ascii="Meiryo" w:hAnsi="Meiryo" w:eastAsia="Meiryo"/>
                <w:b w:val="0"/>
                <w:color w:val="000000"/>
                <w:sz w:val="19"/>
              </w:rPr>
              <w:t>DEGリサイクル塔抜出増</w:t>
            </w:r>
          </w:p>
        </w:tc>
        <w:tc>
          <w:tcPr>
            <w:tcW w:type="dxa" w:w="1814"/>
          </w:tcPr>
          <w:p>
            <w:pPr>
              <w:spacing w:after="20" w:line="252" w:lineRule="auto"/>
              <w:jc w:val="center"/>
            </w:pPr>
            <w:r>
              <w:rPr>
                <w:rFonts w:ascii="Meiryo" w:hAnsi="Meiryo" w:eastAsia="Meiryo"/>
                <w:b w:val="0"/>
                <w:color w:val="000000"/>
                <w:sz w:val="19"/>
              </w:rPr>
              <w:t>4/9〜</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なし</w:t>
            </w:r>
          </w:p>
        </w:tc>
      </w:tr>
      <w:tr>
        <w:tc>
          <w:tcPr>
            <w:tcW w:type="dxa" w:w="4082"/>
          </w:tcPr>
          <w:p>
            <w:pPr>
              <w:spacing w:after="20" w:line="252" w:lineRule="auto"/>
              <w:jc w:val="left"/>
            </w:pPr>
            <w:r>
              <w:rPr>
                <w:rFonts w:ascii="Meiryo" w:hAnsi="Meiryo" w:eastAsia="Meiryo"/>
                <w:b w:val="0"/>
                <w:color w:val="000000"/>
                <w:sz w:val="19"/>
              </w:rPr>
              <w:t>C-1404 TOP水リサイクルカット</w:t>
            </w:r>
          </w:p>
        </w:tc>
        <w:tc>
          <w:tcPr>
            <w:tcW w:type="dxa" w:w="1814"/>
          </w:tcPr>
          <w:p>
            <w:pPr>
              <w:spacing w:after="20" w:line="252" w:lineRule="auto"/>
              <w:jc w:val="center"/>
            </w:pPr>
            <w:r>
              <w:rPr>
                <w:rFonts w:ascii="Meiryo" w:hAnsi="Meiryo" w:eastAsia="Meiryo"/>
                <w:b w:val="0"/>
                <w:color w:val="000000"/>
                <w:sz w:val="19"/>
              </w:rPr>
              <w:t>4/14〜</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なし</w:t>
            </w:r>
          </w:p>
        </w:tc>
      </w:tr>
      <w:tr>
        <w:tc>
          <w:tcPr>
            <w:tcW w:type="dxa" w:w="4082"/>
          </w:tcPr>
          <w:p>
            <w:pPr>
              <w:spacing w:after="20" w:line="252" w:lineRule="auto"/>
              <w:jc w:val="left"/>
            </w:pPr>
            <w:r>
              <w:rPr>
                <w:rFonts w:ascii="Meiryo" w:hAnsi="Meiryo" w:eastAsia="Meiryo"/>
                <w:b w:val="0"/>
                <w:color w:val="000000"/>
                <w:sz w:val="19"/>
              </w:rPr>
              <w:t>クエンチ補給+1t/h</w:t>
            </w:r>
          </w:p>
        </w:tc>
        <w:tc>
          <w:tcPr>
            <w:tcW w:type="dxa" w:w="1814"/>
          </w:tcPr>
          <w:p>
            <w:pPr>
              <w:spacing w:after="20" w:line="252" w:lineRule="auto"/>
              <w:jc w:val="center"/>
            </w:pPr>
            <w:r>
              <w:rPr>
                <w:rFonts w:ascii="Meiryo" w:hAnsi="Meiryo" w:eastAsia="Meiryo"/>
                <w:b w:val="0"/>
                <w:color w:val="000000"/>
                <w:sz w:val="19"/>
              </w:rPr>
              <w:t>4/16〜</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なし</w:t>
            </w:r>
          </w:p>
        </w:tc>
      </w:tr>
      <w:tr>
        <w:tc>
          <w:tcPr>
            <w:tcW w:type="dxa" w:w="4082"/>
          </w:tcPr>
          <w:p>
            <w:pPr>
              <w:spacing w:after="20" w:line="252" w:lineRule="auto"/>
              <w:jc w:val="left"/>
            </w:pPr>
            <w:r>
              <w:rPr>
                <w:rFonts w:ascii="Meiryo" w:hAnsi="Meiryo" w:eastAsia="Meiryo"/>
                <w:b w:val="0"/>
                <w:color w:val="000000"/>
                <w:sz w:val="19"/>
              </w:rPr>
              <w:t>EO脱水塔BTM抜出 2.5→3.5t/h</w:t>
            </w:r>
          </w:p>
        </w:tc>
        <w:tc>
          <w:tcPr>
            <w:tcW w:type="dxa" w:w="1814"/>
          </w:tcPr>
          <w:p>
            <w:pPr>
              <w:spacing w:after="20" w:line="252" w:lineRule="auto"/>
              <w:jc w:val="center"/>
            </w:pPr>
            <w:r>
              <w:rPr>
                <w:rFonts w:ascii="Meiryo" w:hAnsi="Meiryo" w:eastAsia="Meiryo"/>
                <w:b w:val="0"/>
                <w:color w:val="000000"/>
                <w:sz w:val="19"/>
              </w:rPr>
              <w:t>4/16〜</w:t>
            </w:r>
          </w:p>
        </w:tc>
        <w:tc>
          <w:tcPr>
            <w:tcW w:type="dxa" w:w="1701"/>
          </w:tcPr>
          <w:p>
            <w:pPr>
              <w:spacing w:after="20" w:line="252" w:lineRule="auto"/>
              <w:jc w:val="center"/>
            </w:pPr>
            <w:r>
              <w:rPr>
                <w:rFonts w:ascii="Meiryo" w:hAnsi="Meiryo" w:eastAsia="Meiryo"/>
                <w:b w:val="0"/>
                <w:color w:val="000000"/>
                <w:sz w:val="19"/>
              </w:rPr>
              <w:t>なし</w:t>
            </w:r>
          </w:p>
        </w:tc>
        <w:tc>
          <w:tcPr>
            <w:tcW w:type="dxa" w:w="1701"/>
          </w:tcPr>
          <w:p>
            <w:pPr>
              <w:spacing w:after="20" w:line="252" w:lineRule="auto"/>
              <w:jc w:val="center"/>
            </w:pPr>
            <w:r>
              <w:rPr>
                <w:rFonts w:ascii="Meiryo" w:hAnsi="Meiryo" w:eastAsia="Meiryo"/>
                <w:b w:val="0"/>
                <w:color w:val="000000"/>
                <w:sz w:val="19"/>
              </w:rPr>
              <w:t>なし</w:t>
            </w:r>
          </w:p>
        </w:tc>
      </w:tr>
    </w:tbl>
    <w:p>
      <w:pPr>
        <w:spacing w:after="40"/>
      </w:pPr>
    </w:p>
    <w:p>
      <w:pPr>
        <w:spacing w:after="80"/>
      </w:pPr>
      <w:r>
        <w:rPr>
          <w:rFonts w:ascii="Meiryo" w:hAnsi="Meiryo" w:eastAsia="Meiryo"/>
          <w:b/>
          <w:color w:val="000000"/>
          <w:sz w:val="21"/>
        </w:rPr>
        <w:t>要点：改善に寄与したのはC-1501塔底温度ダウン（HUV220のみ）とNa₃PO₄添加（DEG色相のみ）。色相に効いたのはリン酸だけ。</w:t>
      </w:r>
    </w:p>
    <w:p>
      <w:pPr>
        <w:pStyle w:val="Heading2"/>
      </w:pPr>
      <w:r>
        <w:rPr>
          <w:rFonts w:ascii="Meiryo" w:hAnsi="Meiryo" w:eastAsia="Meiryo"/>
          <w:b/>
          <w:color w:val="000000"/>
          <w:sz w:val="25"/>
        </w:rPr>
        <w:t>3.3 確認された事実</w:t>
      </w:r>
    </w:p>
    <w:p>
      <w:pPr>
        <w:spacing w:after="80"/>
      </w:pPr>
      <w:r>
        <w:rPr>
          <w:rFonts w:ascii="Meiryo" w:hAnsi="Meiryo" w:eastAsia="Meiryo"/>
          <w:b w:val="0"/>
          <w:color w:val="000000"/>
          <w:sz w:val="21"/>
        </w:rPr>
        <w:t>これまでに確認された事実を整理する。特に、酸素雰囲気で色相悪化が止まる点と、脱水塔下流のリボイラーに穴が見つかった点は見立てに大きく効く。</w:t>
      </w:r>
    </w:p>
    <w:p>
      <w:pPr>
        <w:pStyle w:val="ListBullet"/>
        <w:spacing w:after="40"/>
      </w:pPr>
      <w:r>
        <w:rPr>
          <w:rFonts w:ascii="Meiryo" w:hAnsi="Meiryo" w:eastAsia="Meiryo"/>
          <w:b w:val="0"/>
          <w:color w:val="000000"/>
          <w:sz w:val="21"/>
        </w:rPr>
        <w:t>F1　採取直後は無色。タンク保管中に着色が進む。</w:t>
      </w:r>
    </w:p>
    <w:p>
      <w:pPr>
        <w:pStyle w:val="ListBullet"/>
        <w:spacing w:after="40"/>
      </w:pPr>
      <w:r>
        <w:rPr>
          <w:rFonts w:ascii="Meiryo" w:hAnsi="Meiryo" w:eastAsia="Meiryo"/>
          <w:b w:val="0"/>
          <w:color w:val="000000"/>
          <w:sz w:val="21"/>
        </w:rPr>
        <w:t>F2　酸素雰囲気（船・ローリー）で色相悪化が止まる。窒素・遮光でも進む。</w:t>
      </w:r>
    </w:p>
    <w:p>
      <w:pPr>
        <w:pStyle w:val="ListBullet"/>
        <w:spacing w:after="40"/>
      </w:pPr>
      <w:r>
        <w:rPr>
          <w:rFonts w:ascii="Meiryo" w:hAnsi="Meiryo" w:eastAsia="Meiryo"/>
          <w:b w:val="0"/>
          <w:color w:val="000000"/>
          <w:sz w:val="21"/>
        </w:rPr>
        <w:t>F3　300nmと450nmの吸収は、長い共役を持つポリエナールの吸収にあたる。</w:t>
      </w:r>
    </w:p>
    <w:p>
      <w:pPr>
        <w:pStyle w:val="ListBullet"/>
        <w:spacing w:after="40"/>
      </w:pPr>
      <w:r>
        <w:rPr>
          <w:rFonts w:ascii="Meiryo" w:hAnsi="Meiryo" w:eastAsia="Meiryo"/>
          <w:b w:val="0"/>
          <w:color w:val="000000"/>
          <w:sz w:val="21"/>
        </w:rPr>
        <w:t>F4　C-1503トップに黒い異物・さび（XRFで鉄98.5%）。C-1501／C-1502はさび・汚れなし（6/12開放）。</w:t>
      </w:r>
    </w:p>
    <w:p>
      <w:pPr>
        <w:pStyle w:val="ListBullet"/>
        <w:spacing w:after="40"/>
      </w:pPr>
      <w:r>
        <w:rPr>
          <w:rFonts w:ascii="Meiryo" w:hAnsi="Meiryo" w:eastAsia="Meiryo"/>
          <w:b w:val="0"/>
          <w:color w:val="000000"/>
          <w:sz w:val="21"/>
        </w:rPr>
        <w:t>F5　鉄さび単独では着色しない（基礎研の保管・蒸留試験）。</w:t>
      </w:r>
    </w:p>
    <w:p>
      <w:pPr>
        <w:pStyle w:val="ListBullet"/>
        <w:spacing w:after="40"/>
      </w:pPr>
      <w:r>
        <w:rPr>
          <w:rFonts w:ascii="Meiryo" w:hAnsi="Meiryo" w:eastAsia="Meiryo"/>
          <w:b w:val="0"/>
          <w:color w:val="000000"/>
          <w:sz w:val="21"/>
        </w:rPr>
        <w:t>F6　A-ALDの自己縮合は共役3〜4まで実測。連結数が増えた微量成分でも色がつく。</w:t>
      </w:r>
    </w:p>
    <w:p>
      <w:pPr>
        <w:pStyle w:val="ListBullet"/>
        <w:spacing w:after="40"/>
      </w:pPr>
      <w:r>
        <w:rPr>
          <w:rFonts w:ascii="Meiryo" w:hAnsi="Meiryo" w:eastAsia="Meiryo"/>
          <w:b w:val="0"/>
          <w:color w:val="000000"/>
          <w:sz w:val="21"/>
        </w:rPr>
        <w:t>F7　本管DEGは27日でAPHA5以下・無変質。タンク品で450nmが育つ。</w:t>
      </w:r>
    </w:p>
    <w:p>
      <w:pPr>
        <w:pStyle w:val="ListBullet"/>
        <w:spacing w:after="40"/>
      </w:pPr>
      <w:r>
        <w:rPr>
          <w:rFonts w:ascii="Meiryo" w:hAnsi="Meiryo" w:eastAsia="Meiryo"/>
          <w:b w:val="0"/>
          <w:color w:val="000000"/>
          <w:sz w:val="21"/>
        </w:rPr>
        <w:t>F8　DEG色相改善に効いたのはNa₃PO₄添加のみ。</w:t>
      </w:r>
    </w:p>
    <w:p>
      <w:pPr>
        <w:pStyle w:val="ListBullet"/>
        <w:spacing w:after="40"/>
      </w:pPr>
      <w:r>
        <w:rPr>
          <w:rFonts w:ascii="Meiryo" w:hAnsi="Meiryo" w:eastAsia="Meiryo"/>
          <w:b w:val="0"/>
          <w:color w:val="000000"/>
          <w:sz w:val="21"/>
        </w:rPr>
        <w:t>F9　物質収支上はC-1502付近でアルデヒド生成に見える。脱水塔BTM・C-1501ボトムは過去同水準。</w:t>
      </w:r>
    </w:p>
    <w:p>
      <w:pPr>
        <w:pStyle w:val="ListBullet"/>
        <w:spacing w:after="40"/>
      </w:pPr>
      <w:r>
        <w:rPr>
          <w:rFonts w:ascii="Meiryo" w:hAnsi="Meiryo" w:eastAsia="Meiryo"/>
          <w:b w:val="0"/>
          <w:color w:val="000000"/>
          <w:sz w:val="21"/>
        </w:rPr>
        <w:t>F10　軽質アルデヒドは物性上そのままDEGまで来ない。運ぶには重質化が要る。</w:t>
      </w:r>
    </w:p>
    <w:p>
      <w:pPr>
        <w:pStyle w:val="ListBullet"/>
        <w:spacing w:after="40"/>
      </w:pPr>
      <w:r>
        <w:rPr>
          <w:rFonts w:ascii="Meiryo" w:hAnsi="Meiryo" w:eastAsia="Meiryo"/>
          <w:b w:val="0"/>
          <w:color w:val="000000"/>
          <w:sz w:val="21"/>
        </w:rPr>
        <w:t>F11　基礎研GPCで着色物質はポリエナール類と確定（分子量200〜800、予想300前後と整合）。</w:t>
      </w:r>
    </w:p>
    <w:p>
      <w:pPr>
        <w:pStyle w:val="ListBullet"/>
        <w:spacing w:after="40"/>
      </w:pPr>
      <w:r>
        <w:rPr>
          <w:rFonts w:ascii="Meiryo" w:hAnsi="Meiryo" w:eastAsia="Meiryo"/>
          <w:b w:val="0"/>
          <w:color w:val="000000"/>
          <w:sz w:val="21"/>
        </w:rPr>
        <w:t>F12　C-1503黒色付着物のDEG共存試験はピーク380nmで、実機の450nmとは別現象。蒸留DEG短滞留では450nmは出ない。</w:t>
      </w:r>
    </w:p>
    <w:p>
      <w:pPr>
        <w:pStyle w:val="ListBullet"/>
        <w:spacing w:after="40"/>
      </w:pPr>
      <w:r>
        <w:rPr>
          <w:rFonts w:ascii="Meiryo" w:hAnsi="Meiryo" w:eastAsia="Meiryo"/>
          <w:b w:val="0"/>
          <w:color w:val="000000"/>
          <w:sz w:val="21"/>
        </w:rPr>
        <w:t>F13　C-1501ボトム〜C-1502配管（CSからSUSへ改造した部位）を6/16開放。さび込みなし・堆積物微小。</w:t>
      </w:r>
    </w:p>
    <w:p>
      <w:pPr>
        <w:pStyle w:val="ListBullet"/>
        <w:spacing w:after="40"/>
      </w:pPr>
      <w:r>
        <w:rPr>
          <w:rFonts w:ascii="Meiryo" w:hAnsi="Meiryo" w:eastAsia="Meiryo"/>
          <w:b w:val="0"/>
          <w:color w:val="000000"/>
          <w:sz w:val="21"/>
        </w:rPr>
        <w:t>F14　T-555 DEGタンク初回開放は黒色異物少・比較的綺麗。黒異物は目視未満で色相悪化との関係は薄いとの見解。</w:t>
      </w:r>
    </w:p>
    <w:p>
      <w:pPr>
        <w:pStyle w:val="ListBullet"/>
        <w:spacing w:after="40"/>
      </w:pPr>
      <w:r>
        <w:rPr>
          <w:rFonts w:ascii="Meiryo" w:hAnsi="Meiryo" w:eastAsia="Meiryo"/>
          <w:b w:val="0"/>
          <w:color w:val="000000"/>
          <w:sz w:val="21"/>
        </w:rPr>
        <w:t>F15　リン酸テスト③（4/20〜連続）でG-ALDは20〜30ppm（6〜9%）低下。停止すると戻り、継続投入が前提。</w:t>
      </w:r>
    </w:p>
    <w:p>
      <w:pPr>
        <w:pStyle w:val="ListBullet"/>
        <w:spacing w:after="40"/>
      </w:pPr>
      <w:r>
        <w:rPr>
          <w:rFonts w:ascii="Meiryo" w:hAnsi="Meiryo" w:eastAsia="Meiryo"/>
          <w:b w:val="0"/>
          <w:color w:val="000000"/>
          <w:sz w:val="21"/>
        </w:rPr>
        <w:t>F16　脱水塔下流のMEG塔リボイラーに穴が見つかり水が混入。修理後、脱水塔ボトム水分は50ppm台から10ppm台へ低下。</w:t>
      </w:r>
    </w:p>
    <w:p>
      <w:pPr>
        <w:pStyle w:val="ListBullet"/>
        <w:spacing w:after="40"/>
      </w:pPr>
      <w:r>
        <w:rPr>
          <w:rFonts w:ascii="Meiryo" w:hAnsi="Meiryo" w:eastAsia="Meiryo"/>
          <w:b w:val="0"/>
          <w:color w:val="000000"/>
          <w:sz w:val="21"/>
        </w:rPr>
        <w:t>F17　T-615異物のXRFは、けい素が過半（砂）に鉄さび10〜12%が混じる。鉄さび片も別に確認。</w:t>
      </w:r>
    </w:p>
    <w:p>
      <w:pPr>
        <w:pStyle w:val="ListBullet"/>
        <w:spacing w:after="40"/>
      </w:pPr>
      <w:r>
        <w:rPr>
          <w:rFonts w:ascii="Meiryo" w:hAnsi="Meiryo" w:eastAsia="Meiryo"/>
          <w:b w:val="0"/>
          <w:color w:val="000000"/>
          <w:sz w:val="21"/>
        </w:rPr>
        <w:t>F18　色相の早期判断はUV450nmの感度が高い。悪化品は1日あたり約0.004上昇、正常品はベース0.002から動かない。</w:t>
      </w:r>
    </w:p>
    <w:p>
      <w:pPr>
        <w:pStyle w:val="Heading1"/>
      </w:pPr>
      <w:r>
        <w:rPr>
          <w:rFonts w:ascii="Meiryo" w:hAnsi="Meiryo" w:eastAsia="Meiryo"/>
          <w:b/>
          <w:color w:val="000000"/>
          <w:sz w:val="30"/>
        </w:rPr>
        <w:t>4. 着色の見立て（仮説）</w:t>
      </w:r>
    </w:p>
    <w:p>
      <w:pPr>
        <w:pStyle w:val="Heading2"/>
      </w:pPr>
      <w:r>
        <w:rPr>
          <w:rFonts w:ascii="Meiryo" w:hAnsi="Meiryo" w:eastAsia="Meiryo"/>
          <w:b/>
          <w:color w:val="000000"/>
          <w:sz w:val="25"/>
        </w:rPr>
        <w:t>4.1 工程に沿った筋</w:t>
      </w:r>
    </w:p>
    <w:p>
      <w:pPr>
        <w:spacing w:after="80"/>
      </w:pPr>
      <w:r>
        <w:rPr>
          <w:rFonts w:ascii="Meiryo" w:hAnsi="Meiryo" w:eastAsia="Meiryo"/>
          <w:b w:val="0"/>
          <w:color w:val="000000"/>
          <w:sz w:val="21"/>
        </w:rPr>
        <w:t>原料アルデヒドの増加を起点に、前駆体が下流へ運ばれ、製品タンクの長期保管で色がつくと見ている。工程ごとに、起きていることと根拠を示す。</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val="clear" w:color="auto" w:fill="D9D9D9"/>
          </w:tcPr>
          <w:p>
            <w:pPr>
              <w:spacing w:after="20" w:line="252" w:lineRule="auto"/>
              <w:jc w:val="center"/>
            </w:pPr>
            <w:r>
              <w:rPr>
                <w:rFonts w:ascii="Meiryo" w:hAnsi="Meiryo" w:eastAsia="Meiryo"/>
                <w:b/>
                <w:color w:val="000000"/>
                <w:sz w:val="19"/>
              </w:rPr>
              <w:t>工程</w:t>
            </w:r>
          </w:p>
        </w:tc>
        <w:tc>
          <w:tcPr>
            <w:tcW w:type="dxa" w:w="3742"/>
            <w:shd w:val="clear" w:color="auto" w:fill="D9D9D9"/>
          </w:tcPr>
          <w:p>
            <w:pPr>
              <w:spacing w:after="20" w:line="252" w:lineRule="auto"/>
              <w:jc w:val="center"/>
            </w:pPr>
            <w:r>
              <w:rPr>
                <w:rFonts w:ascii="Meiryo" w:hAnsi="Meiryo" w:eastAsia="Meiryo"/>
                <w:b/>
                <w:color w:val="000000"/>
                <w:sz w:val="19"/>
              </w:rPr>
              <w:t>起きていること</w:t>
            </w:r>
          </w:p>
        </w:tc>
        <w:tc>
          <w:tcPr>
            <w:tcW w:type="dxa" w:w="3855"/>
            <w:shd w:val="clear" w:color="auto" w:fill="D9D9D9"/>
          </w:tcPr>
          <w:p>
            <w:pPr>
              <w:spacing w:after="20" w:line="252" w:lineRule="auto"/>
              <w:jc w:val="center"/>
            </w:pPr>
            <w:r>
              <w:rPr>
                <w:rFonts w:ascii="Meiryo" w:hAnsi="Meiryo" w:eastAsia="Meiryo"/>
                <w:b/>
                <w:color w:val="000000"/>
                <w:sz w:val="19"/>
              </w:rPr>
              <w:t>根拠</w:t>
            </w:r>
          </w:p>
        </w:tc>
      </w:tr>
      <w:tr>
        <w:tc>
          <w:tcPr>
            <w:tcW w:type="dxa" w:w="1814"/>
          </w:tcPr>
          <w:p>
            <w:pPr>
              <w:spacing w:after="20" w:line="252" w:lineRule="auto"/>
              <w:jc w:val="left"/>
            </w:pPr>
            <w:r>
              <w:rPr>
                <w:rFonts w:ascii="Meiryo" w:hAnsi="Meiryo" w:eastAsia="Meiryo"/>
                <w:b w:val="0"/>
                <w:color w:val="000000"/>
                <w:sz w:val="19"/>
              </w:rPr>
              <w:t>反応系（EO反応器 R-1101）</w:t>
            </w:r>
          </w:p>
        </w:tc>
        <w:tc>
          <w:tcPr>
            <w:tcW w:type="dxa" w:w="3742"/>
          </w:tcPr>
          <w:p>
            <w:pPr>
              <w:spacing w:after="20" w:line="252" w:lineRule="auto"/>
              <w:jc w:val="left"/>
            </w:pPr>
            <w:r>
              <w:rPr>
                <w:rFonts w:ascii="Meiryo" w:hAnsi="Meiryo" w:eastAsia="Meiryo"/>
                <w:b w:val="0"/>
                <w:color w:val="000000"/>
                <w:sz w:val="19"/>
              </w:rPr>
              <w:t>EO触媒の選択率低下で原料EO中のアルデヒド（G-ALD／A-ALD／F-ALD）が増える。着色の出発点。</w:t>
            </w:r>
          </w:p>
        </w:tc>
        <w:tc>
          <w:tcPr>
            <w:tcW w:type="dxa" w:w="3855"/>
          </w:tcPr>
          <w:p>
            <w:pPr>
              <w:spacing w:after="20" w:line="252" w:lineRule="auto"/>
              <w:jc w:val="left"/>
            </w:pPr>
            <w:r>
              <w:rPr>
                <w:rFonts w:ascii="Meiryo" w:hAnsi="Meiryo" w:eastAsia="Meiryo"/>
                <w:b w:val="0"/>
                <w:color w:val="000000"/>
                <w:sz w:val="19"/>
              </w:rPr>
              <w:t>原料EOのA-ALDは過去最大級の水準。反応系で生成したUV成分はほぼそのまま後段へ持ち越す。</w:t>
            </w:r>
          </w:p>
        </w:tc>
      </w:tr>
      <w:tr>
        <w:tc>
          <w:tcPr>
            <w:tcW w:type="dxa" w:w="1814"/>
          </w:tcPr>
          <w:p>
            <w:pPr>
              <w:spacing w:after="20" w:line="252" w:lineRule="auto"/>
              <w:jc w:val="left"/>
            </w:pPr>
            <w:r>
              <w:rPr>
                <w:rFonts w:ascii="Meiryo" w:hAnsi="Meiryo" w:eastAsia="Meiryo"/>
                <w:b w:val="0"/>
                <w:color w:val="000000"/>
                <w:sz w:val="19"/>
              </w:rPr>
              <w:t>EG濃縮系（パージ）</w:t>
            </w:r>
          </w:p>
        </w:tc>
        <w:tc>
          <w:tcPr>
            <w:tcW w:type="dxa" w:w="3742"/>
          </w:tcPr>
          <w:p>
            <w:pPr>
              <w:spacing w:after="20" w:line="252" w:lineRule="auto"/>
              <w:jc w:val="left"/>
            </w:pPr>
            <w:r>
              <w:rPr>
                <w:rFonts w:ascii="Meiryo" w:hAnsi="Meiryo" w:eastAsia="Meiryo"/>
                <w:b w:val="0"/>
                <w:color w:val="000000"/>
                <w:sz w:val="19"/>
              </w:rPr>
              <w:t>アルデヒドの大半はパージで系外へ。一部が隠れた形（アセタール等）で逃げ切り下流へ進む。</w:t>
            </w:r>
          </w:p>
        </w:tc>
        <w:tc>
          <w:tcPr>
            <w:tcW w:type="dxa" w:w="3855"/>
          </w:tcPr>
          <w:p>
            <w:pPr>
              <w:spacing w:after="20" w:line="252" w:lineRule="auto"/>
              <w:jc w:val="left"/>
            </w:pPr>
            <w:r>
              <w:rPr>
                <w:rFonts w:ascii="Meiryo" w:hAnsi="Meiryo" w:eastAsia="Meiryo"/>
                <w:b w:val="0"/>
                <w:color w:val="000000"/>
                <w:sz w:val="19"/>
              </w:rPr>
              <w:t>下流のMEG塔・DEG塔でアルデヒドが検出される。全量パージという見方は事実に合わない。</w:t>
            </w:r>
          </w:p>
        </w:tc>
      </w:tr>
      <w:tr>
        <w:tc>
          <w:tcPr>
            <w:tcW w:type="dxa" w:w="1814"/>
          </w:tcPr>
          <w:p>
            <w:pPr>
              <w:spacing w:after="20" w:line="252" w:lineRule="auto"/>
              <w:jc w:val="left"/>
            </w:pPr>
            <w:r>
              <w:rPr>
                <w:rFonts w:ascii="Meiryo" w:hAnsi="Meiryo" w:eastAsia="Meiryo"/>
                <w:b w:val="0"/>
                <w:color w:val="000000"/>
                <w:sz w:val="19"/>
              </w:rPr>
              <w:t>脱水塔（C-1404）</w:t>
            </w:r>
          </w:p>
        </w:tc>
        <w:tc>
          <w:tcPr>
            <w:tcW w:type="dxa" w:w="3742"/>
          </w:tcPr>
          <w:p>
            <w:pPr>
              <w:spacing w:after="20" w:line="252" w:lineRule="auto"/>
              <w:jc w:val="left"/>
            </w:pPr>
            <w:r>
              <w:rPr>
                <w:rFonts w:ascii="Meiryo" w:hAnsi="Meiryo" w:eastAsia="Meiryo"/>
                <w:b w:val="0"/>
                <w:color w:val="000000"/>
                <w:sz w:val="19"/>
              </w:rPr>
              <w:t>低水分の条件でアセタール化して重質化し、下流へ運ばれる。HEMEは安定な隠れF-ALDとして循環する。</w:t>
            </w:r>
          </w:p>
        </w:tc>
        <w:tc>
          <w:tcPr>
            <w:tcW w:type="dxa" w:w="3855"/>
          </w:tcPr>
          <w:p>
            <w:pPr>
              <w:spacing w:after="20" w:line="252" w:lineRule="auto"/>
              <w:jc w:val="left"/>
            </w:pPr>
            <w:r>
              <w:rPr>
                <w:rFonts w:ascii="Meiryo" w:hAnsi="Meiryo" w:eastAsia="Meiryo"/>
                <w:b w:val="0"/>
                <w:color w:val="000000"/>
                <w:sz w:val="19"/>
              </w:rPr>
              <w:t>軽質アルデヒドは物性上そのままDEGまで来ない。運ぶには重質化が要る。</w:t>
            </w:r>
          </w:p>
        </w:tc>
      </w:tr>
      <w:tr>
        <w:tc>
          <w:tcPr>
            <w:tcW w:type="dxa" w:w="1814"/>
          </w:tcPr>
          <w:p>
            <w:pPr>
              <w:spacing w:after="20" w:line="252" w:lineRule="auto"/>
              <w:jc w:val="left"/>
            </w:pPr>
            <w:r>
              <w:rPr>
                <w:rFonts w:ascii="Meiryo" w:hAnsi="Meiryo" w:eastAsia="Meiryo"/>
                <w:b w:val="0"/>
                <w:color w:val="000000"/>
                <w:sz w:val="19"/>
              </w:rPr>
              <w:t>MEG塔（C-1501／C-1502）</w:t>
            </w:r>
          </w:p>
        </w:tc>
        <w:tc>
          <w:tcPr>
            <w:tcW w:type="dxa" w:w="3742"/>
          </w:tcPr>
          <w:p>
            <w:pPr>
              <w:spacing w:after="20" w:line="252" w:lineRule="auto"/>
              <w:jc w:val="left"/>
            </w:pPr>
            <w:r>
              <w:rPr>
                <w:rFonts w:ascii="Meiryo" w:hAnsi="Meiryo" w:eastAsia="Meiryo"/>
                <w:b w:val="0"/>
                <w:color w:val="000000"/>
                <w:sz w:val="19"/>
              </w:rPr>
              <w:t>熱とアルカリで隠れた形が分解しアルデヒドに戻り、C-1502付近で湧いて見える。MEGのHUVは塔の温度条件に依存する。</w:t>
            </w:r>
          </w:p>
        </w:tc>
        <w:tc>
          <w:tcPr>
            <w:tcW w:type="dxa" w:w="3855"/>
          </w:tcPr>
          <w:p>
            <w:pPr>
              <w:spacing w:after="20" w:line="252" w:lineRule="auto"/>
              <w:jc w:val="left"/>
            </w:pPr>
            <w:r>
              <w:rPr>
                <w:rFonts w:ascii="Meiryo" w:hAnsi="Meiryo" w:eastAsia="Meiryo"/>
                <w:b w:val="0"/>
                <w:color w:val="000000"/>
                <w:sz w:val="19"/>
              </w:rPr>
              <w:t>塔単独の生成でなく塔間循環で説明できる。温度ダウンでHUV220は緩和した。</w:t>
            </w:r>
          </w:p>
        </w:tc>
      </w:tr>
      <w:tr>
        <w:tc>
          <w:tcPr>
            <w:tcW w:type="dxa" w:w="1814"/>
          </w:tcPr>
          <w:p>
            <w:pPr>
              <w:spacing w:after="20" w:line="252" w:lineRule="auto"/>
              <w:jc w:val="left"/>
            </w:pPr>
            <w:r>
              <w:rPr>
                <w:rFonts w:ascii="Meiryo" w:hAnsi="Meiryo" w:eastAsia="Meiryo"/>
                <w:b w:val="0"/>
                <w:color w:val="000000"/>
                <w:sz w:val="19"/>
              </w:rPr>
              <w:t>DEG塔（C-1503）</w:t>
            </w:r>
          </w:p>
        </w:tc>
        <w:tc>
          <w:tcPr>
            <w:tcW w:type="dxa" w:w="3742"/>
          </w:tcPr>
          <w:p>
            <w:pPr>
              <w:spacing w:after="20" w:line="252" w:lineRule="auto"/>
              <w:jc w:val="left"/>
            </w:pPr>
            <w:r>
              <w:rPr>
                <w:rFonts w:ascii="Meiryo" w:hAnsi="Meiryo" w:eastAsia="Meiryo"/>
                <w:b w:val="0"/>
                <w:color w:val="000000"/>
                <w:sz w:val="19"/>
              </w:rPr>
              <w:t>高pHと高温でアルドール縮合が進み、ポリエナールの前駆体が生成する。450nmの色が育つ場はここでなくタンク。</w:t>
            </w:r>
          </w:p>
        </w:tc>
        <w:tc>
          <w:tcPr>
            <w:tcW w:type="dxa" w:w="3855"/>
          </w:tcPr>
          <w:p>
            <w:pPr>
              <w:spacing w:after="20" w:line="252" w:lineRule="auto"/>
              <w:jc w:val="left"/>
            </w:pPr>
            <w:r>
              <w:rPr>
                <w:rFonts w:ascii="Meiryo" w:hAnsi="Meiryo" w:eastAsia="Meiryo"/>
                <w:b w:val="0"/>
                <w:color w:val="000000"/>
                <w:sz w:val="19"/>
              </w:rPr>
              <w:t>酸素なしで進む点が、酸素で止まる事実と整合する。高pHと高温が揃う唯一の塔。</w:t>
            </w:r>
          </w:p>
        </w:tc>
      </w:tr>
      <w:tr>
        <w:tc>
          <w:tcPr>
            <w:tcW w:type="dxa" w:w="1814"/>
          </w:tcPr>
          <w:p>
            <w:pPr>
              <w:spacing w:after="20" w:line="252" w:lineRule="auto"/>
              <w:jc w:val="left"/>
            </w:pPr>
            <w:r>
              <w:rPr>
                <w:rFonts w:ascii="Meiryo" w:hAnsi="Meiryo" w:eastAsia="Meiryo"/>
                <w:b w:val="0"/>
                <w:color w:val="000000"/>
                <w:sz w:val="19"/>
              </w:rPr>
              <w:t>製品タンク（T-555／T-615）</w:t>
            </w:r>
          </w:p>
        </w:tc>
        <w:tc>
          <w:tcPr>
            <w:tcW w:type="dxa" w:w="3742"/>
          </w:tcPr>
          <w:p>
            <w:pPr>
              <w:spacing w:after="20" w:line="252" w:lineRule="auto"/>
              <w:jc w:val="left"/>
            </w:pPr>
            <w:r>
              <w:rPr>
                <w:rFonts w:ascii="Meiryo" w:hAnsi="Meiryo" w:eastAsia="Meiryo"/>
                <w:b w:val="0"/>
                <w:color w:val="000000"/>
                <w:sz w:val="19"/>
              </w:rPr>
              <w:t>残った前駆体がタンク保管中に鎖を伸ばし、分子量が増えて450nmの色がつく。塩基触媒で酸素なしに進む。</w:t>
            </w:r>
          </w:p>
        </w:tc>
        <w:tc>
          <w:tcPr>
            <w:tcW w:type="dxa" w:w="3855"/>
          </w:tcPr>
          <w:p>
            <w:pPr>
              <w:spacing w:after="20" w:line="252" w:lineRule="auto"/>
              <w:jc w:val="left"/>
            </w:pPr>
            <w:r>
              <w:rPr>
                <w:rFonts w:ascii="Meiryo" w:hAnsi="Meiryo" w:eastAsia="Meiryo"/>
                <w:b w:val="0"/>
                <w:color w:val="000000"/>
                <w:sz w:val="19"/>
              </w:rPr>
              <w:t>本管DEGは27日でAPHA5以下、タンク品で450nmが育つ。窒素・遮光でも進むため酸素は不要。</w:t>
            </w:r>
          </w:p>
        </w:tc>
      </w:tr>
    </w:tbl>
    <w:p>
      <w:pPr>
        <w:spacing w:after="40"/>
      </w:pPr>
    </w:p>
    <w:p>
      <w:pPr>
        <w:spacing w:after="80"/>
      </w:pPr>
      <w:r>
        <w:rPr>
          <w:rFonts w:ascii="Meiryo" w:hAnsi="Meiryo" w:eastAsia="Meiryo"/>
          <w:b w:val="0"/>
          <w:color w:val="000000"/>
          <w:sz w:val="21"/>
        </w:rPr>
        <w:t>筋：原料アルデヒド増を起点に、大半はパージで抜け一部が隠れた形で逃げる。脱水塔以降で重質化して運ばれ、MEG塔系で隠れた形が分解してアルデヒドに戻り湧いて見える。DEG塔の高pH・高温でポリエナール前駆体ができ、製品タンクの長期保管で鎖が伸びて450nmの色がつく。動かない軸はDEGに活性アルデヒドを入れないこと。鍵になる変数は塩基（pH）と水分。鉄さびは副次（C-1503の固形異物と380nm寄与）。</w:t>
      </w:r>
    </w:p>
    <w:p>
      <w:pPr>
        <w:pStyle w:val="Heading2"/>
      </w:pPr>
      <w:r>
        <w:rPr>
          <w:rFonts w:ascii="Meiryo" w:hAnsi="Meiryo" w:eastAsia="Meiryo"/>
          <w:b/>
          <w:color w:val="000000"/>
          <w:sz w:val="25"/>
        </w:rPr>
        <w:t>4.2 重要な更新（6/17〜6/20）</w:t>
      </w:r>
    </w:p>
    <w:p>
      <w:pPr>
        <w:spacing w:after="80"/>
      </w:pPr>
      <w:r>
        <w:rPr>
          <w:rFonts w:ascii="Meiryo" w:hAnsi="Meiryo" w:eastAsia="Meiryo"/>
          <w:b w:val="0"/>
          <w:color w:val="000000"/>
          <w:sz w:val="21"/>
        </w:rPr>
        <w:t>見立ての更新点を示す。なかでもリボイラー穴による水混入は、これまでの水分の整理を見直す必要がある。</w:t>
      </w:r>
    </w:p>
    <w:p>
      <w:pPr>
        <w:pStyle w:val="ListBullet"/>
        <w:spacing w:after="40"/>
      </w:pPr>
      <w:r>
        <w:rPr>
          <w:rFonts w:ascii="Meiryo" w:hAnsi="Meiryo" w:eastAsia="Meiryo"/>
          <w:b w:val="0"/>
          <w:color w:val="000000"/>
          <w:sz w:val="21"/>
        </w:rPr>
        <w:t>リボイラー穴による水混入の訂正：脱水塔下流のMEG塔リボイラーに穴があり水が混入していた。修理前は脱水塔トップ水分からボトム水分を逆算管理しており、リボイラーの水漏れを脱水塔の性能低下と取り違えていた可能性がある。修理後、脱水塔ボトム水分は50ppm台から10ppm台へ低下。水分の整理は、穴の前（10月以前の正常期）・穴あり期・修理後の3期に分けて見直す。</w:t>
      </w:r>
    </w:p>
    <w:p>
      <w:pPr>
        <w:pStyle w:val="ListBullet"/>
        <w:spacing w:after="40"/>
      </w:pPr>
      <w:r>
        <w:rPr>
          <w:rFonts w:ascii="Meiryo" w:hAnsi="Meiryo" w:eastAsia="Meiryo"/>
          <w:b w:val="0"/>
          <w:color w:val="000000"/>
          <w:sz w:val="21"/>
        </w:rPr>
        <w:t>着色物質はポリエナールで実測確定：基礎研GPCで分子量200〜800のブロードなピーク。予想したポリエナール（300前後）と整合し、推定から実測確定へ。</w:t>
      </w:r>
    </w:p>
    <w:p>
      <w:pPr>
        <w:pStyle w:val="ListBullet"/>
        <w:spacing w:after="40"/>
      </w:pPr>
      <w:r>
        <w:rPr>
          <w:rFonts w:ascii="Meiryo" w:hAnsi="Meiryo" w:eastAsia="Meiryo"/>
          <w:b w:val="0"/>
          <w:color w:val="000000"/>
          <w:sz w:val="21"/>
        </w:rPr>
        <w:t>さびの役割は副次へ：C-1503黒色付着物のDEG共存試験はピーク380nmで、実機の450nmとは別現象。さびは副次（固形異物と380nm寄与）に位置づけ。</w:t>
      </w:r>
    </w:p>
    <w:p>
      <w:pPr>
        <w:pStyle w:val="ListBullet"/>
        <w:spacing w:after="40"/>
      </w:pPr>
      <w:r>
        <w:rPr>
          <w:rFonts w:ascii="Meiryo" w:hAnsi="Meiryo" w:eastAsia="Meiryo"/>
          <w:b w:val="0"/>
          <w:color w:val="000000"/>
          <w:sz w:val="21"/>
        </w:rPr>
        <w:t>着色が育つ場はタンク：450nmの成長は塔内の短滞留でなく製品タンクの長期保管で進む。前駆体生成（工程内）とタンクでの鎖伸長を二段に分けて見る。</w:t>
      </w:r>
    </w:p>
    <w:p>
      <w:pPr>
        <w:pStyle w:val="ListBullet"/>
        <w:spacing w:after="40"/>
      </w:pPr>
      <w:r>
        <w:rPr>
          <w:rFonts w:ascii="Meiryo" w:hAnsi="Meiryo" w:eastAsia="Meiryo"/>
          <w:b w:val="0"/>
          <w:color w:val="000000"/>
          <w:sz w:val="21"/>
        </w:rPr>
        <w:t>リン酸の効き方を二段に：DEG側はリンそのものより、リン酸とともに持ち込まれた水分が鎖伸長を抑えた可能性が高い。MEG側はG-ALDに対するリン酸そのものの効果が主。</w:t>
      </w:r>
    </w:p>
    <w:p>
      <w:pPr>
        <w:pStyle w:val="ListBullet"/>
        <w:spacing w:after="40"/>
      </w:pPr>
      <w:r>
        <w:rPr>
          <w:rFonts w:ascii="Meiryo" w:hAnsi="Meiryo" w:eastAsia="Meiryo"/>
          <w:b w:val="0"/>
          <w:color w:val="000000"/>
          <w:sz w:val="21"/>
        </w:rPr>
        <w:t>温度操作の評価は揺れている：MEG温度を5℃下げてUVが下がった後にPEG色相悪化が再発しており、因果は確証なし。温度を下げると縮合が止まる代わりに前駆体が色相へ変わって出る見方もあり、温度を下げない対応が候補にある。</w:t>
      </w:r>
    </w:p>
    <w:p>
      <w:pPr>
        <w:pStyle w:val="Heading1"/>
      </w:pPr>
      <w:r>
        <w:rPr>
          <w:rFonts w:ascii="Meiryo" w:hAnsi="Meiryo" w:eastAsia="Meiryo"/>
          <w:b/>
          <w:color w:val="000000"/>
          <w:sz w:val="30"/>
        </w:rPr>
        <w:t>5. 対応</w:t>
      </w:r>
    </w:p>
    <w:p>
      <w:pPr>
        <w:pStyle w:val="Heading2"/>
      </w:pPr>
      <w:r>
        <w:rPr>
          <w:rFonts w:ascii="Meiryo" w:hAnsi="Meiryo" w:eastAsia="Meiryo"/>
          <w:b/>
          <w:color w:val="000000"/>
          <w:sz w:val="25"/>
        </w:rPr>
        <w:t>5.1 薬剤（NaOHとリン酸Na）</w:t>
      </w:r>
    </w:p>
    <w:p>
      <w:pPr>
        <w:spacing w:after="80"/>
      </w:pPr>
      <w:r>
        <w:rPr>
          <w:rFonts w:ascii="Meiryo" w:hAnsi="Meiryo" w:eastAsia="Meiryo"/>
          <w:b w:val="0"/>
          <w:color w:val="000000"/>
          <w:sz w:val="21"/>
        </w:rPr>
        <w:t>色相に効いたのはリン酸Na添加のみである。リン酸は継続投入が前提であり、止めると戻る。NaOHは有機酸の中和には効くが、塩基としてアルドール縮合を促す面がある。</w:t>
      </w:r>
    </w:p>
    <w:p>
      <w:pPr>
        <w:spacing w:after="80"/>
      </w:pPr>
      <w:r>
        <w:rPr>
          <w:rFonts w:ascii="Meiryo" w:hAnsi="Meiryo" w:eastAsia="Meiryo"/>
          <w:b/>
          <w:color w:val="000000"/>
          <w:sz w:val="21"/>
        </w:rPr>
        <w:t>NaOH</w:t>
      </w:r>
    </w:p>
    <w:p>
      <w:pPr>
        <w:pStyle w:val="ListBullet"/>
        <w:spacing w:after="40"/>
      </w:pPr>
      <w:r>
        <w:rPr>
          <w:rFonts w:ascii="Meiryo" w:hAnsi="Meiryo" w:eastAsia="Meiryo"/>
          <w:b w:val="0"/>
          <w:color w:val="000000"/>
          <w:sz w:val="21"/>
        </w:rPr>
        <w:t>投入箇所：S-1401A（EG脱水塔C-1404フィードライン）。</w:t>
      </w:r>
    </w:p>
    <w:p>
      <w:pPr>
        <w:pStyle w:val="ListBullet"/>
        <w:spacing w:after="40"/>
      </w:pPr>
      <w:r>
        <w:rPr>
          <w:rFonts w:ascii="Meiryo" w:hAnsi="Meiryo" w:eastAsia="Meiryo"/>
          <w:b w:val="0"/>
          <w:color w:val="000000"/>
          <w:sz w:val="21"/>
        </w:rPr>
        <w:t>投入量：25wt% NaOH 750g/h（実績は約1,300g/h）。連続は2/26〜3/30で0.7〜1.2L/h。</w:t>
      </w:r>
    </w:p>
    <w:p>
      <w:pPr>
        <w:pStyle w:val="ListBullet"/>
        <w:spacing w:after="40"/>
      </w:pPr>
      <w:r>
        <w:rPr>
          <w:rFonts w:ascii="Meiryo" w:hAnsi="Meiryo" w:eastAsia="Meiryo"/>
          <w:b w:val="0"/>
          <w:color w:val="000000"/>
          <w:sz w:val="21"/>
        </w:rPr>
        <w:t>効果：ギ酸は6〜7から2.6〜3.1ppmへ半減、pHは上昇。ただしHUV220・DEG色相の改善はなし。</w:t>
      </w:r>
    </w:p>
    <w:p>
      <w:pPr>
        <w:pStyle w:val="ListBullet"/>
        <w:spacing w:after="40"/>
      </w:pPr>
      <w:r>
        <w:rPr>
          <w:rFonts w:ascii="Meiryo" w:hAnsi="Meiryo" w:eastAsia="Meiryo"/>
          <w:b w:val="0"/>
          <w:color w:val="000000"/>
          <w:sz w:val="21"/>
        </w:rPr>
        <w:t>機構：有機酸を中和してpHを上げ腐食を抑える。一方で塩基がアルドール縮合を促し着色を後押しする面がある。</w:t>
      </w:r>
    </w:p>
    <w:p>
      <w:pPr>
        <w:pStyle w:val="ListBullet"/>
        <w:spacing w:after="40"/>
      </w:pPr>
      <w:r>
        <w:rPr>
          <w:rFonts w:ascii="Meiryo" w:hAnsi="Meiryo" w:eastAsia="Meiryo"/>
          <w:b w:val="0"/>
          <w:color w:val="000000"/>
          <w:sz w:val="21"/>
        </w:rPr>
        <w:t>留意：大量アルデヒド時は入れない方がよい可能性。スタートアップ運転条件では投入なしをベースに検討。</w:t>
      </w:r>
    </w:p>
    <w:p>
      <w:pPr>
        <w:spacing w:after="80"/>
      </w:pPr>
      <w:r>
        <w:rPr>
          <w:rFonts w:ascii="Meiryo" w:hAnsi="Meiryo" w:eastAsia="Meiryo"/>
          <w:b/>
          <w:color w:val="000000"/>
          <w:sz w:val="21"/>
        </w:rPr>
        <w:t>リン酸Na（Na₃PO₄）</w:t>
      </w:r>
    </w:p>
    <w:p>
      <w:pPr>
        <w:pStyle w:val="ListBullet"/>
        <w:spacing w:after="40"/>
      </w:pPr>
      <w:r>
        <w:rPr>
          <w:rFonts w:ascii="Meiryo" w:hAnsi="Meiryo" w:eastAsia="Meiryo"/>
          <w:b w:val="0"/>
          <w:color w:val="000000"/>
          <w:sz w:val="21"/>
        </w:rPr>
        <w:t>投入箇所：MEG塔SIDE／TOP還流。</w:t>
      </w:r>
    </w:p>
    <w:p>
      <w:pPr>
        <w:pStyle w:val="ListBullet"/>
        <w:spacing w:after="40"/>
      </w:pPr>
      <w:r>
        <w:rPr>
          <w:rFonts w:ascii="Meiryo" w:hAnsi="Meiryo" w:eastAsia="Meiryo"/>
          <w:b w:val="0"/>
          <w:color w:val="000000"/>
          <w:sz w:val="21"/>
        </w:rPr>
        <w:t>投入量：M50条件で0.8〜1.2L/h。</w:t>
      </w:r>
    </w:p>
    <w:p>
      <w:pPr>
        <w:pStyle w:val="ListBullet"/>
        <w:spacing w:after="40"/>
      </w:pPr>
      <w:r>
        <w:rPr>
          <w:rFonts w:ascii="Meiryo" w:hAnsi="Meiryo" w:eastAsia="Meiryo"/>
          <w:b w:val="0"/>
          <w:color w:val="000000"/>
          <w:sz w:val="21"/>
        </w:rPr>
        <w:t>効果：G-ALDを20〜30ppm（6〜9%）低下。DEG色相の改善はリン酸添加のみで確認。</w:t>
      </w:r>
    </w:p>
    <w:p>
      <w:pPr>
        <w:pStyle w:val="ListBullet"/>
        <w:spacing w:after="40"/>
      </w:pPr>
      <w:r>
        <w:rPr>
          <w:rFonts w:ascii="Meiryo" w:hAnsi="Meiryo" w:eastAsia="Meiryo"/>
          <w:b w:val="0"/>
          <w:color w:val="000000"/>
          <w:sz w:val="21"/>
        </w:rPr>
        <w:t>機構（DEG側）：リンそのものより、ともに持ち込まれた水分が鎖伸長を抑えた可能性が高い。</w:t>
      </w:r>
    </w:p>
    <w:p>
      <w:pPr>
        <w:pStyle w:val="ListBullet"/>
        <w:spacing w:after="40"/>
      </w:pPr>
      <w:r>
        <w:rPr>
          <w:rFonts w:ascii="Meiryo" w:hAnsi="Meiryo" w:eastAsia="Meiryo"/>
          <w:b w:val="0"/>
          <w:color w:val="000000"/>
          <w:sz w:val="21"/>
        </w:rPr>
        <w:t>機構（MEG側）：G-ALDに対するリン酸そのものの効果が主（金属の不活性化、アルドールの阻害）。</w:t>
      </w:r>
    </w:p>
    <w:p>
      <w:pPr>
        <w:pStyle w:val="ListBullet"/>
        <w:spacing w:after="40"/>
      </w:pPr>
      <w:r>
        <w:rPr>
          <w:rFonts w:ascii="Meiryo" w:hAnsi="Meiryo" w:eastAsia="Meiryo"/>
          <w:b w:val="0"/>
          <w:color w:val="000000"/>
          <w:sz w:val="21"/>
        </w:rPr>
        <w:t>留意：継続投入が前提（止めると戻る）。M50での投入継続ルールの整理が要る。</w:t>
      </w:r>
    </w:p>
    <w:p>
      <w:pPr>
        <w:spacing w:after="80"/>
      </w:pPr>
      <w:r>
        <w:rPr>
          <w:rFonts w:ascii="Meiryo" w:hAnsi="Meiryo" w:eastAsia="Meiryo"/>
          <w:b/>
          <w:color w:val="000000"/>
          <w:sz w:val="21"/>
        </w:rPr>
        <w:t>リン酸Na テスト履歴</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shd w:val="clear" w:color="auto" w:fill="D9D9D9"/>
          </w:tcPr>
          <w:p>
            <w:pPr>
              <w:spacing w:after="20" w:line="252" w:lineRule="auto"/>
              <w:jc w:val="center"/>
            </w:pPr>
            <w:r>
              <w:rPr>
                <w:rFonts w:ascii="Meiryo" w:hAnsi="Meiryo" w:eastAsia="Meiryo"/>
                <w:b/>
                <w:color w:val="000000"/>
                <w:sz w:val="19"/>
              </w:rPr>
              <w:t>回</w:t>
            </w:r>
          </w:p>
        </w:tc>
        <w:tc>
          <w:tcPr>
            <w:tcW w:type="dxa" w:w="1701"/>
            <w:shd w:val="clear" w:color="auto" w:fill="D9D9D9"/>
          </w:tcPr>
          <w:p>
            <w:pPr>
              <w:spacing w:after="20" w:line="252" w:lineRule="auto"/>
              <w:jc w:val="center"/>
            </w:pPr>
            <w:r>
              <w:rPr>
                <w:rFonts w:ascii="Meiryo" w:hAnsi="Meiryo" w:eastAsia="Meiryo"/>
                <w:b/>
                <w:color w:val="000000"/>
                <w:sz w:val="19"/>
              </w:rPr>
              <w:t>時期</w:t>
            </w:r>
          </w:p>
        </w:tc>
        <w:tc>
          <w:tcPr>
            <w:tcW w:type="dxa" w:w="3118"/>
            <w:shd w:val="clear" w:color="auto" w:fill="D9D9D9"/>
          </w:tcPr>
          <w:p>
            <w:pPr>
              <w:spacing w:after="20" w:line="252" w:lineRule="auto"/>
              <w:jc w:val="center"/>
            </w:pPr>
            <w:r>
              <w:rPr>
                <w:rFonts w:ascii="Meiryo" w:hAnsi="Meiryo" w:eastAsia="Meiryo"/>
                <w:b/>
                <w:color w:val="000000"/>
                <w:sz w:val="19"/>
              </w:rPr>
              <w:t>条件</w:t>
            </w:r>
          </w:p>
        </w:tc>
        <w:tc>
          <w:tcPr>
            <w:tcW w:type="dxa" w:w="3969"/>
            <w:shd w:val="clear" w:color="auto" w:fill="D9D9D9"/>
          </w:tcPr>
          <w:p>
            <w:pPr>
              <w:spacing w:after="20" w:line="252" w:lineRule="auto"/>
              <w:jc w:val="center"/>
            </w:pPr>
            <w:r>
              <w:rPr>
                <w:rFonts w:ascii="Meiryo" w:hAnsi="Meiryo" w:eastAsia="Meiryo"/>
                <w:b/>
                <w:color w:val="000000"/>
                <w:sz w:val="19"/>
              </w:rPr>
              <w:t>結果</w:t>
            </w:r>
          </w:p>
        </w:tc>
      </w:tr>
      <w:tr>
        <w:tc>
          <w:tcPr>
            <w:tcW w:type="dxa" w:w="680"/>
          </w:tcPr>
          <w:p>
            <w:pPr>
              <w:spacing w:after="20" w:line="252" w:lineRule="auto"/>
              <w:jc w:val="center"/>
            </w:pPr>
            <w:r>
              <w:rPr>
                <w:rFonts w:ascii="Meiryo" w:hAnsi="Meiryo" w:eastAsia="Meiryo"/>
                <w:b w:val="0"/>
                <w:color w:val="000000"/>
                <w:sz w:val="19"/>
              </w:rPr>
              <w:t>①</w:t>
            </w:r>
          </w:p>
        </w:tc>
        <w:tc>
          <w:tcPr>
            <w:tcW w:type="dxa" w:w="1701"/>
          </w:tcPr>
          <w:p>
            <w:pPr>
              <w:spacing w:after="20" w:line="252" w:lineRule="auto"/>
              <w:jc w:val="left"/>
            </w:pPr>
            <w:r>
              <w:rPr>
                <w:rFonts w:ascii="Meiryo" w:hAnsi="Meiryo" w:eastAsia="Meiryo"/>
                <w:b w:val="0"/>
                <w:color w:val="000000"/>
                <w:sz w:val="19"/>
              </w:rPr>
              <w:t>2025/11/26</w:t>
            </w:r>
          </w:p>
        </w:tc>
        <w:tc>
          <w:tcPr>
            <w:tcW w:type="dxa" w:w="3118"/>
          </w:tcPr>
          <w:p>
            <w:pPr>
              <w:spacing w:after="20" w:line="252" w:lineRule="auto"/>
              <w:jc w:val="left"/>
            </w:pPr>
            <w:r>
              <w:rPr>
                <w:rFonts w:ascii="Meiryo" w:hAnsi="Meiryo" w:eastAsia="Meiryo"/>
                <w:b w:val="0"/>
                <w:color w:val="000000"/>
                <w:sz w:val="19"/>
              </w:rPr>
              <w:t>10wt% 1L/h×4h（MEG塔SIDE）</w:t>
            </w:r>
          </w:p>
        </w:tc>
        <w:tc>
          <w:tcPr>
            <w:tcW w:type="dxa" w:w="3969"/>
          </w:tcPr>
          <w:p>
            <w:pPr>
              <w:spacing w:after="20" w:line="252" w:lineRule="auto"/>
              <w:jc w:val="left"/>
            </w:pPr>
            <w:r>
              <w:rPr>
                <w:rFonts w:ascii="Meiryo" w:hAnsi="Meiryo" w:eastAsia="Meiryo"/>
                <w:b w:val="0"/>
                <w:color w:val="000000"/>
                <w:sz w:val="19"/>
              </w:rPr>
              <w:t>T-ALD最大20ppm／G-ALD最大30ppm低下。全オンスペック。EG-HEにPは未検出（腐食箇所に吸着）。停止後は効果が続かない。</w:t>
            </w:r>
          </w:p>
        </w:tc>
      </w:tr>
      <w:tr>
        <w:tc>
          <w:tcPr>
            <w:tcW w:type="dxa" w:w="680"/>
          </w:tcPr>
          <w:p>
            <w:pPr>
              <w:spacing w:after="20" w:line="252" w:lineRule="auto"/>
              <w:jc w:val="center"/>
            </w:pPr>
            <w:r>
              <w:rPr>
                <w:rFonts w:ascii="Meiryo" w:hAnsi="Meiryo" w:eastAsia="Meiryo"/>
                <w:b w:val="0"/>
                <w:color w:val="000000"/>
                <w:sz w:val="19"/>
              </w:rPr>
              <w:t>②</w:t>
            </w:r>
          </w:p>
        </w:tc>
        <w:tc>
          <w:tcPr>
            <w:tcW w:type="dxa" w:w="1701"/>
          </w:tcPr>
          <w:p>
            <w:pPr>
              <w:spacing w:after="20" w:line="252" w:lineRule="auto"/>
              <w:jc w:val="left"/>
            </w:pPr>
            <w:r>
              <w:rPr>
                <w:rFonts w:ascii="Meiryo" w:hAnsi="Meiryo" w:eastAsia="Meiryo"/>
                <w:b w:val="0"/>
                <w:color w:val="000000"/>
                <w:sz w:val="19"/>
              </w:rPr>
              <w:t>2025/12/15〜17</w:t>
            </w:r>
          </w:p>
        </w:tc>
        <w:tc>
          <w:tcPr>
            <w:tcW w:type="dxa" w:w="3118"/>
          </w:tcPr>
          <w:p>
            <w:pPr>
              <w:spacing w:after="20" w:line="252" w:lineRule="auto"/>
              <w:jc w:val="left"/>
            </w:pPr>
            <w:r>
              <w:rPr>
                <w:rFonts w:ascii="Meiryo" w:hAnsi="Meiryo" w:eastAsia="Meiryo"/>
                <w:b w:val="0"/>
                <w:color w:val="000000"/>
                <w:sz w:val="19"/>
              </w:rPr>
              <w:t>5wt% 1〜1.5L/h×48h（C-1404 FEED）</w:t>
            </w:r>
          </w:p>
        </w:tc>
        <w:tc>
          <w:tcPr>
            <w:tcW w:type="dxa" w:w="3969"/>
          </w:tcPr>
          <w:p>
            <w:pPr>
              <w:spacing w:after="20" w:line="252" w:lineRule="auto"/>
              <w:jc w:val="left"/>
            </w:pPr>
            <w:r>
              <w:rPr>
                <w:rFonts w:ascii="Meiryo" w:hAnsi="Meiryo" w:eastAsia="Meiryo"/>
                <w:b w:val="0"/>
                <w:color w:val="000000"/>
                <w:sz w:val="19"/>
              </w:rPr>
              <w:t>Pの50〜60%がC-1404まわり、MEG塔BTMは5%未満で塔まで届かず。G-ALD減なし。ストレーナ閉塞が発生。</w:t>
            </w:r>
          </w:p>
        </w:tc>
      </w:tr>
      <w:tr>
        <w:tc>
          <w:tcPr>
            <w:tcW w:type="dxa" w:w="680"/>
          </w:tcPr>
          <w:p>
            <w:pPr>
              <w:spacing w:after="20" w:line="252" w:lineRule="auto"/>
              <w:jc w:val="center"/>
            </w:pPr>
            <w:r>
              <w:rPr>
                <w:rFonts w:ascii="Meiryo" w:hAnsi="Meiryo" w:eastAsia="Meiryo"/>
                <w:b w:val="0"/>
                <w:color w:val="000000"/>
                <w:sz w:val="19"/>
              </w:rPr>
              <w:t>③</w:t>
            </w:r>
          </w:p>
        </w:tc>
        <w:tc>
          <w:tcPr>
            <w:tcW w:type="dxa" w:w="1701"/>
          </w:tcPr>
          <w:p>
            <w:pPr>
              <w:spacing w:after="20" w:line="252" w:lineRule="auto"/>
              <w:jc w:val="left"/>
            </w:pPr>
            <w:r>
              <w:rPr>
                <w:rFonts w:ascii="Meiryo" w:hAnsi="Meiryo" w:eastAsia="Meiryo"/>
                <w:b w:val="0"/>
                <w:color w:val="000000"/>
                <w:sz w:val="19"/>
              </w:rPr>
              <w:t>2026/4/20〜継続</w:t>
            </w:r>
          </w:p>
        </w:tc>
        <w:tc>
          <w:tcPr>
            <w:tcW w:type="dxa" w:w="3118"/>
          </w:tcPr>
          <w:p>
            <w:pPr>
              <w:spacing w:after="20" w:line="252" w:lineRule="auto"/>
              <w:jc w:val="left"/>
            </w:pPr>
            <w:r>
              <w:rPr>
                <w:rFonts w:ascii="Meiryo" w:hAnsi="Meiryo" w:eastAsia="Meiryo"/>
                <w:b w:val="0"/>
                <w:color w:val="000000"/>
                <w:sz w:val="19"/>
              </w:rPr>
              <w:t>5wt% 0.8〜1.2L/h（MEG塔SIDE連続）</w:t>
            </w:r>
          </w:p>
        </w:tc>
        <w:tc>
          <w:tcPr>
            <w:tcW w:type="dxa" w:w="3969"/>
          </w:tcPr>
          <w:p>
            <w:pPr>
              <w:spacing w:after="20" w:line="252" w:lineRule="auto"/>
              <w:jc w:val="left"/>
            </w:pPr>
            <w:r>
              <w:rPr>
                <w:rFonts w:ascii="Meiryo" w:hAnsi="Meiryo" w:eastAsia="Meiryo"/>
                <w:b w:val="0"/>
                <w:color w:val="000000"/>
                <w:sz w:val="19"/>
              </w:rPr>
              <w:t>G-ALDが20〜30ppm（6〜9%）低下。停止すると戻り、継続投入が前提。DEG比率の高いタンクで450nmが低下傾向。</w:t>
            </w:r>
          </w:p>
        </w:tc>
      </w:tr>
    </w:tbl>
    <w:p>
      <w:pPr>
        <w:spacing w:after="40"/>
      </w:pPr>
    </w:p>
    <w:p>
      <w:pPr>
        <w:pStyle w:val="Heading2"/>
      </w:pPr>
      <w:r>
        <w:rPr>
          <w:rFonts w:ascii="Meiryo" w:hAnsi="Meiryo" w:eastAsia="Meiryo"/>
          <w:b/>
          <w:color w:val="000000"/>
          <w:sz w:val="25"/>
        </w:rPr>
        <w:t>5.2 対応方案（方案1〜7）</w:t>
      </w:r>
    </w:p>
    <w:p>
      <w:pPr>
        <w:spacing w:after="80"/>
      </w:pPr>
      <w:r>
        <w:rPr>
          <w:rFonts w:ascii="Meiryo" w:hAnsi="Meiryo" w:eastAsia="Meiryo"/>
          <w:b w:val="0"/>
          <w:color w:val="000000"/>
          <w:sz w:val="21"/>
        </w:rPr>
        <w:t>方針は、F-ALDが存在しない環境を作ったうえでA-ALDを下げること（方案5と6の組み合わせ）を軸に置く。</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907"/>
            <w:shd w:val="clear" w:color="auto" w:fill="D9D9D9"/>
          </w:tcPr>
          <w:p>
            <w:pPr>
              <w:spacing w:after="20" w:line="252" w:lineRule="auto"/>
              <w:jc w:val="center"/>
            </w:pPr>
            <w:r>
              <w:rPr>
                <w:rFonts w:ascii="Meiryo" w:hAnsi="Meiryo" w:eastAsia="Meiryo"/>
                <w:b/>
                <w:color w:val="000000"/>
                <w:sz w:val="18"/>
              </w:rPr>
              <w:t>方案</w:t>
            </w:r>
          </w:p>
        </w:tc>
        <w:tc>
          <w:tcPr>
            <w:tcW w:type="dxa" w:w="2154"/>
            <w:shd w:val="clear" w:color="auto" w:fill="D9D9D9"/>
          </w:tcPr>
          <w:p>
            <w:pPr>
              <w:spacing w:after="20" w:line="252" w:lineRule="auto"/>
              <w:jc w:val="center"/>
            </w:pPr>
            <w:r>
              <w:rPr>
                <w:rFonts w:ascii="Meiryo" w:hAnsi="Meiryo" w:eastAsia="Meiryo"/>
                <w:b/>
                <w:color w:val="000000"/>
                <w:sz w:val="18"/>
              </w:rPr>
              <w:t>内容</w:t>
            </w:r>
          </w:p>
        </w:tc>
        <w:tc>
          <w:tcPr>
            <w:tcW w:type="dxa" w:w="1361"/>
            <w:shd w:val="clear" w:color="auto" w:fill="D9D9D9"/>
          </w:tcPr>
          <w:p>
            <w:pPr>
              <w:spacing w:after="20" w:line="252" w:lineRule="auto"/>
              <w:jc w:val="center"/>
            </w:pPr>
            <w:r>
              <w:rPr>
                <w:rFonts w:ascii="Meiryo" w:hAnsi="Meiryo" w:eastAsia="Meiryo"/>
                <w:b/>
                <w:color w:val="000000"/>
                <w:sz w:val="18"/>
              </w:rPr>
              <w:t>戦略</w:t>
            </w:r>
          </w:p>
        </w:tc>
        <w:tc>
          <w:tcPr>
            <w:tcW w:type="dxa" w:w="2268"/>
            <w:shd w:val="clear" w:color="auto" w:fill="D9D9D9"/>
          </w:tcPr>
          <w:p>
            <w:pPr>
              <w:spacing w:after="20" w:line="252" w:lineRule="auto"/>
              <w:jc w:val="center"/>
            </w:pPr>
            <w:r>
              <w:rPr>
                <w:rFonts w:ascii="Meiryo" w:hAnsi="Meiryo" w:eastAsia="Meiryo"/>
                <w:b/>
                <w:color w:val="000000"/>
                <w:sz w:val="18"/>
              </w:rPr>
              <w:t>ねらい</w:t>
            </w:r>
          </w:p>
        </w:tc>
        <w:tc>
          <w:tcPr>
            <w:tcW w:type="dxa" w:w="2608"/>
            <w:shd w:val="clear" w:color="auto" w:fill="D9D9D9"/>
          </w:tcPr>
          <w:p>
            <w:pPr>
              <w:spacing w:after="20" w:line="252" w:lineRule="auto"/>
              <w:jc w:val="center"/>
            </w:pPr>
            <w:r>
              <w:rPr>
                <w:rFonts w:ascii="Meiryo" w:hAnsi="Meiryo" w:eastAsia="Meiryo"/>
                <w:b/>
                <w:color w:val="000000"/>
                <w:sz w:val="18"/>
              </w:rPr>
              <w:t>現状</w:t>
            </w:r>
          </w:p>
        </w:tc>
      </w:tr>
      <w:tr>
        <w:tc>
          <w:tcPr>
            <w:tcW w:type="dxa" w:w="907"/>
          </w:tcPr>
          <w:p>
            <w:pPr>
              <w:spacing w:after="20" w:line="252" w:lineRule="auto"/>
              <w:jc w:val="center"/>
            </w:pPr>
            <w:r>
              <w:rPr>
                <w:rFonts w:ascii="Meiryo" w:hAnsi="Meiryo" w:eastAsia="Meiryo"/>
                <w:b w:val="0"/>
                <w:color w:val="000000"/>
                <w:sz w:val="17"/>
              </w:rPr>
              <w:t>方案1</w:t>
            </w:r>
          </w:p>
        </w:tc>
        <w:tc>
          <w:tcPr>
            <w:tcW w:type="dxa" w:w="2154"/>
          </w:tcPr>
          <w:p>
            <w:pPr>
              <w:spacing w:after="20" w:line="252" w:lineRule="auto"/>
              <w:jc w:val="left"/>
            </w:pPr>
            <w:r>
              <w:rPr>
                <w:rFonts w:ascii="Meiryo" w:hAnsi="Meiryo" w:eastAsia="Meiryo"/>
                <w:b w:val="0"/>
                <w:color w:val="000000"/>
                <w:sz w:val="17"/>
              </w:rPr>
              <w:t>リン酸塩投入</w:t>
            </w:r>
          </w:p>
        </w:tc>
        <w:tc>
          <w:tcPr>
            <w:tcW w:type="dxa" w:w="1361"/>
          </w:tcPr>
          <w:p>
            <w:pPr>
              <w:spacing w:after="20" w:line="252" w:lineRule="auto"/>
              <w:jc w:val="center"/>
            </w:pPr>
            <w:r>
              <w:rPr>
                <w:rFonts w:ascii="Meiryo" w:hAnsi="Meiryo" w:eastAsia="Meiryo"/>
                <w:b w:val="0"/>
                <w:color w:val="000000"/>
                <w:sz w:val="17"/>
              </w:rPr>
              <w:t>中段（補助）</w:t>
            </w:r>
          </w:p>
        </w:tc>
        <w:tc>
          <w:tcPr>
            <w:tcW w:type="dxa" w:w="2268"/>
          </w:tcPr>
          <w:p>
            <w:pPr>
              <w:spacing w:after="20" w:line="252" w:lineRule="auto"/>
              <w:jc w:val="left"/>
            </w:pPr>
            <w:r>
              <w:rPr>
                <w:rFonts w:ascii="Meiryo" w:hAnsi="Meiryo" w:eastAsia="Meiryo"/>
                <w:b w:val="0"/>
                <w:color w:val="000000"/>
                <w:sz w:val="17"/>
              </w:rPr>
              <w:t>G-ALD抑制。DEG色相に有効。</w:t>
            </w:r>
          </w:p>
        </w:tc>
        <w:tc>
          <w:tcPr>
            <w:tcW w:type="dxa" w:w="2608"/>
          </w:tcPr>
          <w:p>
            <w:pPr>
              <w:spacing w:after="20" w:line="252" w:lineRule="auto"/>
              <w:jc w:val="left"/>
            </w:pPr>
            <w:r>
              <w:rPr>
                <w:rFonts w:ascii="Meiryo" w:hAnsi="Meiryo" w:eastAsia="Meiryo"/>
                <w:b w:val="0"/>
                <w:color w:val="000000"/>
                <w:sz w:val="17"/>
              </w:rPr>
              <w:t>4/20〜継続中。継続投入が前提。</w:t>
            </w:r>
          </w:p>
        </w:tc>
      </w:tr>
      <w:tr>
        <w:tc>
          <w:tcPr>
            <w:tcW w:type="dxa" w:w="907"/>
          </w:tcPr>
          <w:p>
            <w:pPr>
              <w:spacing w:after="20" w:line="252" w:lineRule="auto"/>
              <w:jc w:val="center"/>
            </w:pPr>
            <w:r>
              <w:rPr>
                <w:rFonts w:ascii="Meiryo" w:hAnsi="Meiryo" w:eastAsia="Meiryo"/>
                <w:b w:val="0"/>
                <w:color w:val="000000"/>
                <w:sz w:val="17"/>
              </w:rPr>
              <w:t>方案2</w:t>
            </w:r>
          </w:p>
        </w:tc>
        <w:tc>
          <w:tcPr>
            <w:tcW w:type="dxa" w:w="2154"/>
          </w:tcPr>
          <w:p>
            <w:pPr>
              <w:spacing w:after="20" w:line="252" w:lineRule="auto"/>
              <w:jc w:val="left"/>
            </w:pPr>
            <w:r>
              <w:rPr>
                <w:rFonts w:ascii="Meiryo" w:hAnsi="Meiryo" w:eastAsia="Meiryo"/>
                <w:b w:val="0"/>
                <w:color w:val="000000"/>
                <w:sz w:val="17"/>
              </w:rPr>
              <w:t>NaOH投入</w:t>
            </w:r>
          </w:p>
        </w:tc>
        <w:tc>
          <w:tcPr>
            <w:tcW w:type="dxa" w:w="1361"/>
          </w:tcPr>
          <w:p>
            <w:pPr>
              <w:spacing w:after="20" w:line="252" w:lineRule="auto"/>
              <w:jc w:val="center"/>
            </w:pPr>
            <w:r>
              <w:rPr>
                <w:rFonts w:ascii="Meiryo" w:hAnsi="Meiryo" w:eastAsia="Meiryo"/>
                <w:b w:val="0"/>
                <w:color w:val="000000"/>
                <w:sz w:val="17"/>
              </w:rPr>
              <w:t>中段（補助）</w:t>
            </w:r>
          </w:p>
        </w:tc>
        <w:tc>
          <w:tcPr>
            <w:tcW w:type="dxa" w:w="2268"/>
          </w:tcPr>
          <w:p>
            <w:pPr>
              <w:spacing w:after="20" w:line="252" w:lineRule="auto"/>
              <w:jc w:val="left"/>
            </w:pPr>
            <w:r>
              <w:rPr>
                <w:rFonts w:ascii="Meiryo" w:hAnsi="Meiryo" w:eastAsia="Meiryo"/>
                <w:b w:val="0"/>
                <w:color w:val="000000"/>
                <w:sz w:val="17"/>
              </w:rPr>
              <w:t>有機酸中和でpH維持。</w:t>
            </w:r>
          </w:p>
        </w:tc>
        <w:tc>
          <w:tcPr>
            <w:tcW w:type="dxa" w:w="2608"/>
          </w:tcPr>
          <w:p>
            <w:pPr>
              <w:spacing w:after="20" w:line="252" w:lineRule="auto"/>
              <w:jc w:val="left"/>
            </w:pPr>
            <w:r>
              <w:rPr>
                <w:rFonts w:ascii="Meiryo" w:hAnsi="Meiryo" w:eastAsia="Meiryo"/>
                <w:b w:val="0"/>
                <w:color w:val="000000"/>
                <w:sz w:val="17"/>
              </w:rPr>
              <w:t>色相・HUVには効かず。SU条件では投入なしをベースに検討。</w:t>
            </w:r>
          </w:p>
        </w:tc>
      </w:tr>
      <w:tr>
        <w:tc>
          <w:tcPr>
            <w:tcW w:type="dxa" w:w="907"/>
          </w:tcPr>
          <w:p>
            <w:pPr>
              <w:spacing w:after="20" w:line="252" w:lineRule="auto"/>
              <w:jc w:val="center"/>
            </w:pPr>
            <w:r>
              <w:rPr>
                <w:rFonts w:ascii="Meiryo" w:hAnsi="Meiryo" w:eastAsia="Meiryo"/>
                <w:b w:val="0"/>
                <w:color w:val="000000"/>
                <w:sz w:val="17"/>
              </w:rPr>
              <w:t>方案3</w:t>
            </w:r>
          </w:p>
        </w:tc>
        <w:tc>
          <w:tcPr>
            <w:tcW w:type="dxa" w:w="2154"/>
          </w:tcPr>
          <w:p>
            <w:pPr>
              <w:spacing w:after="20" w:line="252" w:lineRule="auto"/>
              <w:jc w:val="left"/>
            </w:pPr>
            <w:r>
              <w:rPr>
                <w:rFonts w:ascii="Meiryo" w:hAnsi="Meiryo" w:eastAsia="Meiryo"/>
                <w:b w:val="0"/>
                <w:color w:val="000000"/>
                <w:sz w:val="17"/>
              </w:rPr>
              <w:t>C-1501塔頂圧ダウン（27→23kPaA）</w:t>
            </w:r>
          </w:p>
        </w:tc>
        <w:tc>
          <w:tcPr>
            <w:tcW w:type="dxa" w:w="1361"/>
          </w:tcPr>
          <w:p>
            <w:pPr>
              <w:spacing w:after="20" w:line="252" w:lineRule="auto"/>
              <w:jc w:val="center"/>
            </w:pPr>
            <w:r>
              <w:rPr>
                <w:rFonts w:ascii="Meiryo" w:hAnsi="Meiryo" w:eastAsia="Meiryo"/>
                <w:b w:val="0"/>
                <w:color w:val="000000"/>
                <w:sz w:val="17"/>
              </w:rPr>
              <w:t>中段</w:t>
            </w:r>
          </w:p>
        </w:tc>
        <w:tc>
          <w:tcPr>
            <w:tcW w:type="dxa" w:w="2268"/>
          </w:tcPr>
          <w:p>
            <w:pPr>
              <w:spacing w:after="20" w:line="252" w:lineRule="auto"/>
              <w:jc w:val="left"/>
            </w:pPr>
            <w:r>
              <w:rPr>
                <w:rFonts w:ascii="Meiryo" w:hAnsi="Meiryo" w:eastAsia="Meiryo"/>
                <w:b w:val="0"/>
                <w:color w:val="000000"/>
                <w:sz w:val="17"/>
              </w:rPr>
              <w:t>塔頂温度を下げHUV220を抑制。</w:t>
            </w:r>
          </w:p>
        </w:tc>
        <w:tc>
          <w:tcPr>
            <w:tcW w:type="dxa" w:w="2608"/>
          </w:tcPr>
          <w:p>
            <w:pPr>
              <w:spacing w:after="20" w:line="252" w:lineRule="auto"/>
              <w:jc w:val="left"/>
            </w:pPr>
            <w:r>
              <w:rPr>
                <w:rFonts w:ascii="Meiryo" w:hAnsi="Meiryo" w:eastAsia="Meiryo"/>
                <w:b w:val="0"/>
                <w:color w:val="000000"/>
                <w:sz w:val="17"/>
              </w:rPr>
              <w:t>HUV220に効果。設備能力を検証中。</w:t>
            </w:r>
          </w:p>
        </w:tc>
      </w:tr>
      <w:tr>
        <w:tc>
          <w:tcPr>
            <w:tcW w:type="dxa" w:w="907"/>
          </w:tcPr>
          <w:p>
            <w:pPr>
              <w:spacing w:after="20" w:line="252" w:lineRule="auto"/>
              <w:jc w:val="center"/>
            </w:pPr>
            <w:r>
              <w:rPr>
                <w:rFonts w:ascii="Meiryo" w:hAnsi="Meiryo" w:eastAsia="Meiryo"/>
                <w:b w:val="0"/>
                <w:color w:val="000000"/>
                <w:sz w:val="17"/>
              </w:rPr>
              <w:t>方案4</w:t>
            </w:r>
          </w:p>
        </w:tc>
        <w:tc>
          <w:tcPr>
            <w:tcW w:type="dxa" w:w="2154"/>
          </w:tcPr>
          <w:p>
            <w:pPr>
              <w:spacing w:after="20" w:line="252" w:lineRule="auto"/>
              <w:jc w:val="left"/>
            </w:pPr>
            <w:r>
              <w:rPr>
                <w:rFonts w:ascii="Meiryo" w:hAnsi="Meiryo" w:eastAsia="Meiryo"/>
                <w:b w:val="0"/>
                <w:color w:val="000000"/>
                <w:sz w:val="17"/>
              </w:rPr>
              <w:t>EO分割フィード</w:t>
            </w:r>
          </w:p>
        </w:tc>
        <w:tc>
          <w:tcPr>
            <w:tcW w:type="dxa" w:w="1361"/>
          </w:tcPr>
          <w:p>
            <w:pPr>
              <w:spacing w:after="20" w:line="252" w:lineRule="auto"/>
              <w:jc w:val="center"/>
            </w:pPr>
            <w:r>
              <w:rPr>
                <w:rFonts w:ascii="Meiryo" w:hAnsi="Meiryo" w:eastAsia="Meiryo"/>
                <w:b w:val="0"/>
                <w:color w:val="000000"/>
                <w:sz w:val="17"/>
              </w:rPr>
              <w:t>入口</w:t>
            </w:r>
          </w:p>
        </w:tc>
        <w:tc>
          <w:tcPr>
            <w:tcW w:type="dxa" w:w="2268"/>
          </w:tcPr>
          <w:p>
            <w:pPr>
              <w:spacing w:after="20" w:line="252" w:lineRule="auto"/>
              <w:jc w:val="left"/>
            </w:pPr>
            <w:r>
              <w:rPr>
                <w:rFonts w:ascii="Meiryo" w:hAnsi="Meiryo" w:eastAsia="Meiryo"/>
                <w:b w:val="0"/>
                <w:color w:val="000000"/>
                <w:sz w:val="17"/>
              </w:rPr>
              <w:t>EG反応器入口のアルデヒド濃度を下げる。</w:t>
            </w:r>
          </w:p>
        </w:tc>
        <w:tc>
          <w:tcPr>
            <w:tcW w:type="dxa" w:w="2608"/>
          </w:tcPr>
          <w:p>
            <w:pPr>
              <w:spacing w:after="20" w:line="252" w:lineRule="auto"/>
              <w:jc w:val="left"/>
            </w:pPr>
            <w:r>
              <w:rPr>
                <w:rFonts w:ascii="Meiryo" w:hAnsi="Meiryo" w:eastAsia="Meiryo"/>
                <w:b w:val="0"/>
                <w:color w:val="000000"/>
                <w:sz w:val="17"/>
              </w:rPr>
              <w:t>過去にEOを15%まで上げた実績があり、不要と判断。</w:t>
            </w:r>
          </w:p>
        </w:tc>
      </w:tr>
      <w:tr>
        <w:tc>
          <w:tcPr>
            <w:tcW w:type="dxa" w:w="907"/>
          </w:tcPr>
          <w:p>
            <w:pPr>
              <w:spacing w:after="20" w:line="252" w:lineRule="auto"/>
              <w:jc w:val="center"/>
            </w:pPr>
            <w:r>
              <w:rPr>
                <w:rFonts w:ascii="Meiryo" w:hAnsi="Meiryo" w:eastAsia="Meiryo"/>
                <w:b w:val="0"/>
                <w:color w:val="000000"/>
                <w:sz w:val="17"/>
              </w:rPr>
              <w:t>方案5</w:t>
            </w:r>
          </w:p>
        </w:tc>
        <w:tc>
          <w:tcPr>
            <w:tcW w:type="dxa" w:w="2154"/>
          </w:tcPr>
          <w:p>
            <w:pPr>
              <w:spacing w:after="20" w:line="252" w:lineRule="auto"/>
              <w:jc w:val="left"/>
            </w:pPr>
            <w:r>
              <w:rPr>
                <w:rFonts w:ascii="Meiryo" w:hAnsi="Meiryo" w:eastAsia="Meiryo"/>
                <w:b w:val="0"/>
                <w:color w:val="000000"/>
                <w:sz w:val="17"/>
              </w:rPr>
              <w:t>C-1303 TOP回収先変更（F-ALDカット）</w:t>
            </w:r>
          </w:p>
        </w:tc>
        <w:tc>
          <w:tcPr>
            <w:tcW w:type="dxa" w:w="1361"/>
          </w:tcPr>
          <w:p>
            <w:pPr>
              <w:spacing w:after="20" w:line="252" w:lineRule="auto"/>
              <w:jc w:val="center"/>
            </w:pPr>
            <w:r>
              <w:rPr>
                <w:rFonts w:ascii="Meiryo" w:hAnsi="Meiryo" w:eastAsia="Meiryo"/>
                <w:b w:val="0"/>
                <w:color w:val="000000"/>
                <w:sz w:val="17"/>
              </w:rPr>
              <w:t>入口</w:t>
            </w:r>
          </w:p>
        </w:tc>
        <w:tc>
          <w:tcPr>
            <w:tcW w:type="dxa" w:w="2268"/>
          </w:tcPr>
          <w:p>
            <w:pPr>
              <w:spacing w:after="20" w:line="252" w:lineRule="auto"/>
              <w:jc w:val="left"/>
            </w:pPr>
            <w:r>
              <w:rPr>
                <w:rFonts w:ascii="Meiryo" w:hAnsi="Meiryo" w:eastAsia="Meiryo"/>
                <w:b w:val="0"/>
                <w:color w:val="000000"/>
                <w:sz w:val="17"/>
              </w:rPr>
              <w:t>原料EO中のF-ALDを下げる。</w:t>
            </w:r>
          </w:p>
        </w:tc>
        <w:tc>
          <w:tcPr>
            <w:tcW w:type="dxa" w:w="2608"/>
          </w:tcPr>
          <w:p>
            <w:pPr>
              <w:spacing w:after="20" w:line="252" w:lineRule="auto"/>
              <w:jc w:val="left"/>
            </w:pPr>
            <w:r>
              <w:rPr>
                <w:rFonts w:ascii="Meiryo" w:hAnsi="Meiryo" w:eastAsia="Meiryo"/>
                <w:b w:val="0"/>
                <w:color w:val="000000"/>
                <w:sz w:val="17"/>
              </w:rPr>
              <w:t>RDで感度検証中。</w:t>
            </w:r>
          </w:p>
        </w:tc>
      </w:tr>
      <w:tr>
        <w:tc>
          <w:tcPr>
            <w:tcW w:type="dxa" w:w="907"/>
          </w:tcPr>
          <w:p>
            <w:pPr>
              <w:spacing w:after="20" w:line="252" w:lineRule="auto"/>
              <w:jc w:val="center"/>
            </w:pPr>
            <w:r>
              <w:rPr>
                <w:rFonts w:ascii="Meiryo" w:hAnsi="Meiryo" w:eastAsia="Meiryo"/>
                <w:b w:val="0"/>
                <w:color w:val="000000"/>
                <w:sz w:val="17"/>
              </w:rPr>
              <w:t>方案6</w:t>
            </w:r>
          </w:p>
        </w:tc>
        <w:tc>
          <w:tcPr>
            <w:tcW w:type="dxa" w:w="2154"/>
          </w:tcPr>
          <w:p>
            <w:pPr>
              <w:spacing w:after="20" w:line="252" w:lineRule="auto"/>
              <w:jc w:val="left"/>
            </w:pPr>
            <w:r>
              <w:rPr>
                <w:rFonts w:ascii="Meiryo" w:hAnsi="Meiryo" w:eastAsia="Meiryo"/>
                <w:b w:val="0"/>
                <w:color w:val="000000"/>
                <w:sz w:val="17"/>
              </w:rPr>
              <w:t>EG原料水パージ（A-ALD除去）</w:t>
            </w:r>
          </w:p>
        </w:tc>
        <w:tc>
          <w:tcPr>
            <w:tcW w:type="dxa" w:w="1361"/>
          </w:tcPr>
          <w:p>
            <w:pPr>
              <w:spacing w:after="20" w:line="252" w:lineRule="auto"/>
              <w:jc w:val="center"/>
            </w:pPr>
            <w:r>
              <w:rPr>
                <w:rFonts w:ascii="Meiryo" w:hAnsi="Meiryo" w:eastAsia="Meiryo"/>
                <w:b w:val="0"/>
                <w:color w:val="000000"/>
                <w:sz w:val="17"/>
              </w:rPr>
              <w:t>入口</w:t>
            </w:r>
          </w:p>
        </w:tc>
        <w:tc>
          <w:tcPr>
            <w:tcW w:type="dxa" w:w="2268"/>
          </w:tcPr>
          <w:p>
            <w:pPr>
              <w:spacing w:after="20" w:line="252" w:lineRule="auto"/>
              <w:jc w:val="left"/>
            </w:pPr>
            <w:r>
              <w:rPr>
                <w:rFonts w:ascii="Meiryo" w:hAnsi="Meiryo" w:eastAsia="Meiryo"/>
                <w:b w:val="0"/>
                <w:color w:val="000000"/>
                <w:sz w:val="17"/>
              </w:rPr>
              <w:t>原料水中のA-ALDを下げる。</w:t>
            </w:r>
          </w:p>
        </w:tc>
        <w:tc>
          <w:tcPr>
            <w:tcW w:type="dxa" w:w="2608"/>
          </w:tcPr>
          <w:p>
            <w:pPr>
              <w:spacing w:after="20" w:line="252" w:lineRule="auto"/>
              <w:jc w:val="left"/>
            </w:pPr>
            <w:r>
              <w:rPr>
                <w:rFonts w:ascii="Meiryo" w:hAnsi="Meiryo" w:eastAsia="Meiryo"/>
                <w:b w:val="0"/>
                <w:color w:val="000000"/>
                <w:sz w:val="17"/>
              </w:rPr>
              <w:t>RDで感度確認中。水和実験を実施中。</w:t>
            </w:r>
          </w:p>
        </w:tc>
      </w:tr>
      <w:tr>
        <w:tc>
          <w:tcPr>
            <w:tcW w:type="dxa" w:w="907"/>
          </w:tcPr>
          <w:p>
            <w:pPr>
              <w:spacing w:after="20" w:line="252" w:lineRule="auto"/>
              <w:jc w:val="center"/>
            </w:pPr>
            <w:r>
              <w:rPr>
                <w:rFonts w:ascii="Meiryo" w:hAnsi="Meiryo" w:eastAsia="Meiryo"/>
                <w:b w:val="0"/>
                <w:color w:val="000000"/>
                <w:sz w:val="17"/>
              </w:rPr>
              <w:t>方案7</w:t>
            </w:r>
          </w:p>
        </w:tc>
        <w:tc>
          <w:tcPr>
            <w:tcW w:type="dxa" w:w="2154"/>
          </w:tcPr>
          <w:p>
            <w:pPr>
              <w:spacing w:after="20" w:line="252" w:lineRule="auto"/>
              <w:jc w:val="left"/>
            </w:pPr>
            <w:r>
              <w:rPr>
                <w:rFonts w:ascii="Meiryo" w:hAnsi="Meiryo" w:eastAsia="Meiryo"/>
                <w:b w:val="0"/>
                <w:color w:val="000000"/>
                <w:sz w:val="17"/>
              </w:rPr>
              <w:t>製品DEG 不純物処理（IER）</w:t>
            </w:r>
          </w:p>
        </w:tc>
        <w:tc>
          <w:tcPr>
            <w:tcW w:type="dxa" w:w="1361"/>
          </w:tcPr>
          <w:p>
            <w:pPr>
              <w:spacing w:after="20" w:line="252" w:lineRule="auto"/>
              <w:jc w:val="center"/>
            </w:pPr>
            <w:r>
              <w:rPr>
                <w:rFonts w:ascii="Meiryo" w:hAnsi="Meiryo" w:eastAsia="Meiryo"/>
                <w:b w:val="0"/>
                <w:color w:val="000000"/>
                <w:sz w:val="17"/>
              </w:rPr>
              <w:t>出口</w:t>
            </w:r>
          </w:p>
        </w:tc>
        <w:tc>
          <w:tcPr>
            <w:tcW w:type="dxa" w:w="2268"/>
          </w:tcPr>
          <w:p>
            <w:pPr>
              <w:spacing w:after="20" w:line="252" w:lineRule="auto"/>
              <w:jc w:val="left"/>
            </w:pPr>
            <w:r>
              <w:rPr>
                <w:rFonts w:ascii="Meiryo" w:hAnsi="Meiryo" w:eastAsia="Meiryo"/>
                <w:b w:val="0"/>
                <w:color w:val="000000"/>
                <w:sz w:val="17"/>
              </w:rPr>
              <w:t>後段でDEGの不純物を除く。</w:t>
            </w:r>
          </w:p>
        </w:tc>
        <w:tc>
          <w:tcPr>
            <w:tcW w:type="dxa" w:w="2608"/>
          </w:tcPr>
          <w:p>
            <w:pPr>
              <w:spacing w:after="20" w:line="252" w:lineRule="auto"/>
              <w:jc w:val="left"/>
            </w:pPr>
            <w:r>
              <w:rPr>
                <w:rFonts w:ascii="Meiryo" w:hAnsi="Meiryo" w:eastAsia="Meiryo"/>
                <w:b w:val="0"/>
                <w:color w:val="000000"/>
                <w:sz w:val="17"/>
              </w:rPr>
              <w:t>過去の起業化案を確認中。</w:t>
            </w:r>
          </w:p>
        </w:tc>
      </w:tr>
    </w:tbl>
    <w:p>
      <w:pPr>
        <w:spacing w:after="40"/>
      </w:pPr>
    </w:p>
    <w:p>
      <w:pPr>
        <w:pStyle w:val="Heading2"/>
      </w:pPr>
      <w:r>
        <w:rPr>
          <w:rFonts w:ascii="Meiryo" w:hAnsi="Meiryo" w:eastAsia="Meiryo"/>
          <w:b/>
          <w:color w:val="000000"/>
          <w:sz w:val="25"/>
        </w:rPr>
        <w:t>5.3 スタートアップ運転条件案</w:t>
      </w:r>
    </w:p>
    <w:p>
      <w:pPr>
        <w:spacing w:after="80"/>
      </w:pPr>
      <w:r>
        <w:rPr>
          <w:rFonts w:ascii="Meiryo" w:hAnsi="Meiryo" w:eastAsia="Meiryo"/>
          <w:b w:val="0"/>
          <w:color w:val="000000"/>
          <w:sz w:val="21"/>
        </w:rPr>
        <w:t>6/25のスタートアップ会議は承認の場とする。6/22〜24で対策会議メンバーが方針を固め、各項目に投入・非投入の根拠を付けて認識を合わせる。連日対策会議は6/22〜7/3、プラントスタートは7/5を予定。</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D9D9D9"/>
          </w:tcPr>
          <w:p>
            <w:pPr>
              <w:spacing w:after="20" w:line="252" w:lineRule="auto"/>
              <w:jc w:val="center"/>
            </w:pPr>
            <w:r>
              <w:rPr>
                <w:rFonts w:ascii="Meiryo" w:hAnsi="Meiryo" w:eastAsia="Meiryo"/>
                <w:b/>
                <w:color w:val="000000"/>
                <w:sz w:val="19"/>
              </w:rPr>
              <w:t>項目</w:t>
            </w:r>
          </w:p>
        </w:tc>
        <w:tc>
          <w:tcPr>
            <w:tcW w:type="dxa" w:w="7143"/>
            <w:shd w:val="clear" w:color="auto" w:fill="D9D9D9"/>
          </w:tcPr>
          <w:p>
            <w:pPr>
              <w:spacing w:after="20" w:line="252" w:lineRule="auto"/>
              <w:jc w:val="center"/>
            </w:pPr>
            <w:r>
              <w:rPr>
                <w:rFonts w:ascii="Meiryo" w:hAnsi="Meiryo" w:eastAsia="Meiryo"/>
                <w:b/>
                <w:color w:val="000000"/>
                <w:sz w:val="19"/>
              </w:rPr>
              <w:t>方針</w:t>
            </w:r>
          </w:p>
        </w:tc>
      </w:tr>
      <w:tr>
        <w:tc>
          <w:tcPr>
            <w:tcW w:type="dxa" w:w="2268"/>
          </w:tcPr>
          <w:p>
            <w:pPr>
              <w:spacing w:after="20" w:line="252" w:lineRule="auto"/>
              <w:jc w:val="left"/>
            </w:pPr>
            <w:r>
              <w:rPr>
                <w:rFonts w:ascii="Meiryo" w:hAnsi="Meiryo" w:eastAsia="Meiryo"/>
                <w:b w:val="0"/>
                <w:color w:val="000000"/>
                <w:sz w:val="19"/>
              </w:rPr>
              <w:t>苛性ソーダ投入</w:t>
            </w:r>
          </w:p>
        </w:tc>
        <w:tc>
          <w:tcPr>
            <w:tcW w:type="dxa" w:w="7143"/>
          </w:tcPr>
          <w:p>
            <w:pPr>
              <w:spacing w:after="20" w:line="252" w:lineRule="auto"/>
              <w:jc w:val="left"/>
            </w:pPr>
            <w:r>
              <w:rPr>
                <w:rFonts w:ascii="Meiryo" w:hAnsi="Meiryo" w:eastAsia="Meiryo"/>
                <w:b w:val="0"/>
                <w:color w:val="000000"/>
                <w:sz w:val="19"/>
              </w:rPr>
              <w:t>現時点では投入しないをベース。投入する場合は機構に基づく根拠を付ける。</w:t>
            </w:r>
          </w:p>
        </w:tc>
      </w:tr>
      <w:tr>
        <w:tc>
          <w:tcPr>
            <w:tcW w:type="dxa" w:w="2268"/>
          </w:tcPr>
          <w:p>
            <w:pPr>
              <w:spacing w:after="20" w:line="252" w:lineRule="auto"/>
              <w:jc w:val="left"/>
            </w:pPr>
            <w:r>
              <w:rPr>
                <w:rFonts w:ascii="Meiryo" w:hAnsi="Meiryo" w:eastAsia="Meiryo"/>
                <w:b w:val="0"/>
                <w:color w:val="000000"/>
                <w:sz w:val="19"/>
              </w:rPr>
              <w:t>リン酸投入</w:t>
            </w:r>
          </w:p>
        </w:tc>
        <w:tc>
          <w:tcPr>
            <w:tcW w:type="dxa" w:w="7143"/>
          </w:tcPr>
          <w:p>
            <w:pPr>
              <w:spacing w:after="20" w:line="252" w:lineRule="auto"/>
              <w:jc w:val="left"/>
            </w:pPr>
            <w:r>
              <w:rPr>
                <w:rFonts w:ascii="Meiryo" w:hAnsi="Meiryo" w:eastAsia="Meiryo"/>
                <w:b w:val="0"/>
                <w:color w:val="000000"/>
                <w:sz w:val="19"/>
              </w:rPr>
              <w:t>投入要否を判断。G-ALD抑制とDEG色相の両面で必要性を見る。</w:t>
            </w:r>
          </w:p>
        </w:tc>
      </w:tr>
      <w:tr>
        <w:tc>
          <w:tcPr>
            <w:tcW w:type="dxa" w:w="2268"/>
          </w:tcPr>
          <w:p>
            <w:pPr>
              <w:spacing w:after="20" w:line="252" w:lineRule="auto"/>
              <w:jc w:val="left"/>
            </w:pPr>
            <w:r>
              <w:rPr>
                <w:rFonts w:ascii="Meiryo" w:hAnsi="Meiryo" w:eastAsia="Meiryo"/>
                <w:b w:val="0"/>
                <w:color w:val="000000"/>
                <w:sz w:val="19"/>
              </w:rPr>
              <w:t>MEG塔温度設定</w:t>
            </w:r>
          </w:p>
        </w:tc>
        <w:tc>
          <w:tcPr>
            <w:tcW w:type="dxa" w:w="7143"/>
          </w:tcPr>
          <w:p>
            <w:pPr>
              <w:spacing w:after="20" w:line="252" w:lineRule="auto"/>
              <w:jc w:val="left"/>
            </w:pPr>
            <w:r>
              <w:rPr>
                <w:rFonts w:ascii="Meiryo" w:hAnsi="Meiryo" w:eastAsia="Meiryo"/>
                <w:b w:val="0"/>
                <w:color w:val="000000"/>
                <w:sz w:val="19"/>
              </w:rPr>
              <w:t>HUV220と前駆体の行き先の両面を見て設定。温度を下げる対応は色相への効きが確証なし。</w:t>
            </w:r>
          </w:p>
        </w:tc>
      </w:tr>
    </w:tbl>
    <w:p>
      <w:pPr>
        <w:spacing w:after="40"/>
      </w:pPr>
    </w:p>
    <w:p>
      <w:pPr>
        <w:pStyle w:val="Heading2"/>
      </w:pPr>
      <w:r>
        <w:rPr>
          <w:rFonts w:ascii="Meiryo" w:hAnsi="Meiryo" w:eastAsia="Meiryo"/>
          <w:b/>
          <w:color w:val="000000"/>
          <w:sz w:val="25"/>
        </w:rPr>
        <w:t>5.4 早期色相判断・指標</w:t>
      </w:r>
    </w:p>
    <w:tbl>
      <w:tblPr>
        <w:tblStyle w:val="TableGrid"/>
        <w:tblW w:type="auto" w:w="0"/>
        <w:jc w:val="center"/>
        <w:tblLook w:firstColumn="1" w:firstRow="1" w:lastColumn="0" w:lastRow="0" w:noHBand="0" w:noVBand="1" w:val="04A0"/>
      </w:tblPr>
      <w:tblGrid>
        <w:gridCol w:w="4819"/>
        <w:gridCol w:w="4819"/>
      </w:tblGrid>
      <w:tr>
        <w:tc>
          <w:tcPr>
            <w:tcW w:type="dxa" w:w="2041"/>
            <w:shd w:val="clear" w:color="auto" w:fill="D9D9D9"/>
          </w:tcPr>
          <w:p>
            <w:pPr>
              <w:spacing w:after="20" w:line="252" w:lineRule="auto"/>
              <w:jc w:val="center"/>
            </w:pPr>
            <w:r>
              <w:rPr>
                <w:rFonts w:ascii="Meiryo" w:hAnsi="Meiryo" w:eastAsia="Meiryo"/>
                <w:b/>
                <w:color w:val="000000"/>
                <w:sz w:val="19"/>
              </w:rPr>
              <w:t>指標</w:t>
            </w:r>
          </w:p>
        </w:tc>
        <w:tc>
          <w:tcPr>
            <w:tcW w:type="dxa" w:w="7370"/>
            <w:shd w:val="clear" w:color="auto" w:fill="D9D9D9"/>
          </w:tcPr>
          <w:p>
            <w:pPr>
              <w:spacing w:after="20" w:line="252" w:lineRule="auto"/>
              <w:jc w:val="center"/>
            </w:pPr>
            <w:r>
              <w:rPr>
                <w:rFonts w:ascii="Meiryo" w:hAnsi="Meiryo" w:eastAsia="Meiryo"/>
                <w:b/>
                <w:color w:val="000000"/>
                <w:sz w:val="19"/>
              </w:rPr>
              <w:t>内容</w:t>
            </w:r>
          </w:p>
        </w:tc>
      </w:tr>
      <w:tr>
        <w:tc>
          <w:tcPr>
            <w:tcW w:type="dxa" w:w="2041"/>
          </w:tcPr>
          <w:p>
            <w:pPr>
              <w:spacing w:after="20" w:line="252" w:lineRule="auto"/>
              <w:jc w:val="left"/>
            </w:pPr>
            <w:r>
              <w:rPr>
                <w:rFonts w:ascii="Meiryo" w:hAnsi="Meiryo" w:eastAsia="Meiryo"/>
                <w:b w:val="0"/>
                <w:color w:val="000000"/>
                <w:sz w:val="19"/>
              </w:rPr>
              <w:t>UV450nm</w:t>
            </w:r>
          </w:p>
        </w:tc>
        <w:tc>
          <w:tcPr>
            <w:tcW w:type="dxa" w:w="7370"/>
          </w:tcPr>
          <w:p>
            <w:pPr>
              <w:spacing w:after="20" w:line="252" w:lineRule="auto"/>
              <w:jc w:val="left"/>
            </w:pPr>
            <w:r>
              <w:rPr>
                <w:rFonts w:ascii="Meiryo" w:hAnsi="Meiryo" w:eastAsia="Meiryo"/>
                <w:b w:val="0"/>
                <w:color w:val="000000"/>
                <w:sz w:val="19"/>
              </w:rPr>
              <w:t>現状で最も感度が高い。悪化品は1日あたり約0.004上昇、正常品はベース0.002から動かない。1日後の上昇量で判定できる。</w:t>
            </w:r>
          </w:p>
        </w:tc>
      </w:tr>
      <w:tr>
        <w:tc>
          <w:tcPr>
            <w:tcW w:type="dxa" w:w="2041"/>
          </w:tcPr>
          <w:p>
            <w:pPr>
              <w:spacing w:after="20" w:line="252" w:lineRule="auto"/>
              <w:jc w:val="left"/>
            </w:pPr>
            <w:r>
              <w:rPr>
                <w:rFonts w:ascii="Meiryo" w:hAnsi="Meiryo" w:eastAsia="Meiryo"/>
                <w:b w:val="0"/>
                <w:color w:val="000000"/>
                <w:sz w:val="19"/>
              </w:rPr>
              <w:t>UV330nm</w:t>
            </w:r>
          </w:p>
        </w:tc>
        <w:tc>
          <w:tcPr>
            <w:tcW w:type="dxa" w:w="7370"/>
          </w:tcPr>
          <w:p>
            <w:pPr>
              <w:spacing w:after="20" w:line="252" w:lineRule="auto"/>
              <w:jc w:val="left"/>
            </w:pPr>
            <w:r>
              <w:rPr>
                <w:rFonts w:ascii="Meiryo" w:hAnsi="Meiryo" w:eastAsia="Meiryo"/>
                <w:b w:val="0"/>
                <w:color w:val="000000"/>
                <w:sz w:val="19"/>
              </w:rPr>
              <w:t>Naを含まない領域。1週間待たずに初期色相を判断できる可能性。停止前のリン酸なしと5月のリン酸ありを比較して検証する。</w:t>
            </w:r>
          </w:p>
        </w:tc>
      </w:tr>
      <w:tr>
        <w:tc>
          <w:tcPr>
            <w:tcW w:type="dxa" w:w="2041"/>
          </w:tcPr>
          <w:p>
            <w:pPr>
              <w:spacing w:after="20" w:line="252" w:lineRule="auto"/>
              <w:jc w:val="left"/>
            </w:pPr>
            <w:r>
              <w:rPr>
                <w:rFonts w:ascii="Meiryo" w:hAnsi="Meiryo" w:eastAsia="Meiryo"/>
                <w:b w:val="0"/>
                <w:color w:val="000000"/>
                <w:sz w:val="19"/>
              </w:rPr>
              <w:t>Total Aldehyde監視</w:t>
            </w:r>
          </w:p>
        </w:tc>
        <w:tc>
          <w:tcPr>
            <w:tcW w:type="dxa" w:w="7370"/>
          </w:tcPr>
          <w:p>
            <w:pPr>
              <w:spacing w:after="20" w:line="252" w:lineRule="auto"/>
              <w:jc w:val="left"/>
            </w:pPr>
            <w:r>
              <w:rPr>
                <w:rFonts w:ascii="Meiryo" w:hAnsi="Meiryo" w:eastAsia="Meiryo"/>
                <w:b w:val="0"/>
                <w:color w:val="000000"/>
                <w:sz w:val="19"/>
              </w:rPr>
              <w:t>採用見送り。エノラートが伸びてもカルボニル数が変わらず検出原理として弱い。既存のエキクロ法以上の情報が得にくい。</w:t>
            </w:r>
          </w:p>
        </w:tc>
      </w:tr>
    </w:tbl>
    <w:p>
      <w:pPr>
        <w:spacing w:after="40"/>
      </w:pPr>
    </w:p>
    <w:p>
      <w:pPr>
        <w:pStyle w:val="Heading2"/>
      </w:pPr>
      <w:r>
        <w:rPr>
          <w:rFonts w:ascii="Meiryo" w:hAnsi="Meiryo" w:eastAsia="Meiryo"/>
          <w:b/>
          <w:color w:val="000000"/>
          <w:sz w:val="25"/>
        </w:rPr>
        <w:t>5.5 異物の確認と顧客への説明</w:t>
      </w:r>
    </w:p>
    <w:p>
      <w:pPr>
        <w:spacing w:after="80"/>
      </w:pPr>
      <w:r>
        <w:rPr>
          <w:rFonts w:ascii="Meiryo" w:hAnsi="Meiryo" w:eastAsia="Meiryo"/>
          <w:b/>
          <w:color w:val="000000"/>
          <w:sz w:val="21"/>
        </w:rPr>
        <w:t>異物・タンク・ライン処理</w:t>
      </w:r>
    </w:p>
    <w:p>
      <w:pPr>
        <w:pStyle w:val="ListBullet"/>
        <w:spacing w:after="40"/>
      </w:pPr>
      <w:r>
        <w:rPr>
          <w:rFonts w:ascii="Meiryo" w:hAnsi="Meiryo" w:eastAsia="Meiryo"/>
          <w:b w:val="0"/>
          <w:color w:val="000000"/>
          <w:sz w:val="21"/>
        </w:rPr>
        <w:t>T-615異物：けい素が過半（砂）に鉄さび10〜12%が混じる混合物。鉄さび片も別に確認。色相悪化を促す触媒ではないとの見解。</w:t>
      </w:r>
    </w:p>
    <w:p>
      <w:pPr>
        <w:pStyle w:val="ListBullet"/>
        <w:spacing w:after="40"/>
      </w:pPr>
      <w:r>
        <w:rPr>
          <w:rFonts w:ascii="Meiryo" w:hAnsi="Meiryo" w:eastAsia="Meiryo"/>
          <w:b w:val="0"/>
          <w:color w:val="000000"/>
          <w:sz w:val="21"/>
        </w:rPr>
        <w:t>T-555異物：黒色異物少・比較的綺麗。黒異物は目視未満で色相悪化との関係は薄い。</w:t>
      </w:r>
    </w:p>
    <w:p>
      <w:pPr>
        <w:pStyle w:val="ListBullet"/>
        <w:spacing w:after="40"/>
      </w:pPr>
      <w:r>
        <w:rPr>
          <w:rFonts w:ascii="Meiryo" w:hAnsi="Meiryo" w:eastAsia="Meiryo"/>
          <w:b w:val="0"/>
          <w:color w:val="000000"/>
          <w:sz w:val="21"/>
        </w:rPr>
        <w:t>共配ライン処理：来週実施。水を使わず、向後側から窒素でEOプラント側へ押し、窒素パージで終える。</w:t>
      </w:r>
    </w:p>
    <w:p>
      <w:pPr>
        <w:pStyle w:val="ListBullet"/>
        <w:spacing w:after="40"/>
      </w:pPr>
      <w:r>
        <w:rPr>
          <w:rFonts w:ascii="Meiryo" w:hAnsi="Meiryo" w:eastAsia="Meiryo"/>
          <w:b w:val="0"/>
          <w:color w:val="000000"/>
          <w:sz w:val="21"/>
        </w:rPr>
        <w:t>ボンベサンプリング：色相悪化がプラント由来かタンク由来かを切り分けるため、窒素を残した状態で保管したサンプルを取得する。</w:t>
      </w:r>
    </w:p>
    <w:p>
      <w:pPr>
        <w:spacing w:after="80"/>
      </w:pPr>
      <w:r>
        <w:rPr>
          <w:rFonts w:ascii="Meiryo" w:hAnsi="Meiryo" w:eastAsia="Meiryo"/>
          <w:b/>
          <w:color w:val="000000"/>
          <w:sz w:val="21"/>
        </w:rPr>
        <w:t>顧客（レゾナック）向け説明の骨子</w:t>
      </w:r>
    </w:p>
    <w:p>
      <w:pPr>
        <w:pStyle w:val="ListBullet"/>
        <w:spacing w:after="40"/>
      </w:pPr>
      <w:r>
        <w:rPr>
          <w:rFonts w:ascii="Meiryo" w:hAnsi="Meiryo" w:eastAsia="Meiryo"/>
          <w:b w:val="0"/>
          <w:color w:val="000000"/>
          <w:sz w:val="21"/>
        </w:rPr>
        <w:t>触媒失活による可能性が高い。</w:t>
      </w:r>
    </w:p>
    <w:p>
      <w:pPr>
        <w:pStyle w:val="ListBullet"/>
        <w:spacing w:after="40"/>
      </w:pPr>
      <w:r>
        <w:rPr>
          <w:rFonts w:ascii="Meiryo" w:hAnsi="Meiryo" w:eastAsia="Meiryo"/>
          <w:b w:val="0"/>
          <w:color w:val="000000"/>
          <w:sz w:val="21"/>
        </w:rPr>
        <w:t>アセトアルデヒド類の生成量が増加した。</w:t>
      </w:r>
    </w:p>
    <w:p>
      <w:pPr>
        <w:pStyle w:val="ListBullet"/>
        <w:spacing w:after="40"/>
      </w:pPr>
      <w:r>
        <w:rPr>
          <w:rFonts w:ascii="Meiryo" w:hAnsi="Meiryo" w:eastAsia="Meiryo"/>
          <w:b w:val="0"/>
          <w:color w:val="000000"/>
          <w:sz w:val="21"/>
        </w:rPr>
        <w:t>EGプラントでの重合で可視光を吸収する物質に変わった。</w:t>
      </w:r>
    </w:p>
    <w:p>
      <w:pPr>
        <w:pStyle w:val="ListBullet"/>
        <w:spacing w:after="40"/>
      </w:pPr>
      <w:r>
        <w:rPr>
          <w:rFonts w:ascii="Meiryo" w:hAnsi="Meiryo" w:eastAsia="Meiryo"/>
          <w:b w:val="0"/>
          <w:color w:val="000000"/>
          <w:sz w:val="21"/>
        </w:rPr>
        <w:t>定量的な把握が難しく、ごく微量（PPB未満の水準）である。</w:t>
      </w:r>
    </w:p>
    <w:p>
      <w:pPr>
        <w:pStyle w:val="ListBullet"/>
        <w:spacing w:after="40"/>
      </w:pPr>
      <w:r>
        <w:rPr>
          <w:rFonts w:ascii="Meiryo" w:hAnsi="Meiryo" w:eastAsia="Meiryo"/>
          <w:b w:val="0"/>
          <w:color w:val="000000"/>
          <w:sz w:val="21"/>
        </w:rPr>
        <w:t>色相・外観以外の品質規格には影響しない。</w:t>
      </w:r>
    </w:p>
    <w:p>
      <w:pPr>
        <w:spacing w:after="80"/>
      </w:pPr>
      <w:r>
        <w:rPr>
          <w:rFonts w:ascii="Meiryo" w:hAnsi="Meiryo" w:eastAsia="Meiryo"/>
          <w:b w:val="0"/>
          <w:color w:val="404040"/>
          <w:sz w:val="21"/>
        </w:rPr>
        <w:t>営業はまず口頭で説明する方針。「PPBレベル」は誤解を招くため「PPB未満の水準」と表現する。</w:t>
      </w:r>
    </w:p>
    <w:p>
      <w:pPr>
        <w:pStyle w:val="Heading1"/>
      </w:pPr>
      <w:r>
        <w:rPr>
          <w:rFonts w:ascii="Meiryo" w:hAnsi="Meiryo" w:eastAsia="Meiryo"/>
          <w:b/>
          <w:color w:val="000000"/>
          <w:sz w:val="30"/>
        </w:rPr>
        <w:t>6. M50（モデルチェンジ）との接続</w:t>
      </w:r>
    </w:p>
    <w:p>
      <w:pPr>
        <w:spacing w:after="80"/>
      </w:pPr>
      <w:r>
        <w:rPr>
          <w:rFonts w:ascii="Meiryo" w:hAnsi="Meiryo" w:eastAsia="Meiryo"/>
          <w:b w:val="0"/>
          <w:color w:val="000000"/>
          <w:sz w:val="21"/>
        </w:rPr>
        <w:t>アルデヒドバランスでは、M50で原料水を3分の1まで下げても入口濃度上昇の影響は残る。入口側の不純物が支配的。</w:t>
      </w:r>
    </w:p>
    <w:p>
      <w:pPr>
        <w:spacing w:after="80"/>
      </w:pPr>
      <w:r>
        <w:rPr>
          <w:rFonts w:ascii="Meiryo" w:hAnsi="Meiryo" w:eastAsia="Meiryo"/>
          <w:b w:val="0"/>
          <w:color w:val="000000"/>
          <w:sz w:val="21"/>
        </w:rPr>
        <w:t>原料水低減だけでは効果が足りない。現行の対策では将来的に現状の濃度水準を保つのは難しい見込み。</w:t>
      </w:r>
    </w:p>
    <w:p>
      <w:pPr>
        <w:spacing w:after="80"/>
      </w:pPr>
      <w:r>
        <w:rPr>
          <w:rFonts w:ascii="Meiryo" w:hAnsi="Meiryo" w:eastAsia="Meiryo"/>
          <w:b w:val="0"/>
          <w:color w:val="000000"/>
          <w:sz w:val="21"/>
        </w:rPr>
        <w:t>そのため、入口でアルデヒドを下げる方案5・6を軸に、リン酸の継続投入とSU運転条件の確定を合わせて進める。</w:t>
      </w:r>
    </w:p>
    <w:p>
      <w:pPr>
        <w:pStyle w:val="Heading1"/>
      </w:pPr>
      <w:r>
        <w:rPr>
          <w:rFonts w:ascii="Meiryo" w:hAnsi="Meiryo" w:eastAsia="Meiryo"/>
          <w:b/>
          <w:color w:val="000000"/>
          <w:sz w:val="30"/>
        </w:rPr>
        <w:t>7. 次アクションと要検証</w:t>
      </w:r>
    </w:p>
    <w:p>
      <w:pPr>
        <w:pStyle w:val="Heading2"/>
      </w:pPr>
      <w:r>
        <w:rPr>
          <w:rFonts w:ascii="Meiryo" w:hAnsi="Meiryo" w:eastAsia="Meiryo"/>
          <w:b/>
          <w:color w:val="000000"/>
          <w:sz w:val="25"/>
        </w:rPr>
        <w:t>7.1 次アクション</w:t>
      </w:r>
    </w:p>
    <w:p>
      <w:pPr>
        <w:pStyle w:val="ListNumber"/>
        <w:spacing w:after="40"/>
      </w:pPr>
      <w:r>
        <w:rPr>
          <w:rFonts w:ascii="Meiryo" w:hAnsi="Meiryo" w:eastAsia="Meiryo"/>
          <w:b w:val="0"/>
          <w:color w:val="000000"/>
          <w:sz w:val="21"/>
        </w:rPr>
        <w:t>水分の3期分け（10月以前・穴あり期・修理後）で、製品DEG・T-555・T-615の水分時系列を整理し直す。</w:t>
      </w:r>
    </w:p>
    <w:p>
      <w:pPr>
        <w:pStyle w:val="ListNumber"/>
        <w:spacing w:after="40"/>
      </w:pPr>
      <w:r>
        <w:rPr>
          <w:rFonts w:ascii="Meiryo" w:hAnsi="Meiryo" w:eastAsia="Meiryo"/>
          <w:b w:val="0"/>
          <w:color w:val="000000"/>
          <w:sz w:val="21"/>
        </w:rPr>
        <w:t>C-1503ミドル充填部のリン酸到達を、壁面付着物のXRFで確認し、リン酸の効き方を切り分ける。</w:t>
      </w:r>
    </w:p>
    <w:p>
      <w:pPr>
        <w:pStyle w:val="ListNumber"/>
        <w:spacing w:after="40"/>
      </w:pPr>
      <w:r>
        <w:rPr>
          <w:rFonts w:ascii="Meiryo" w:hAnsi="Meiryo" w:eastAsia="Meiryo"/>
          <w:b w:val="0"/>
          <w:color w:val="000000"/>
          <w:sz w:val="21"/>
        </w:rPr>
        <w:t>UV330nmの早期判断について、停止前のリン酸なしと5月のリン酸ありのデータで有効性を検証する。</w:t>
      </w:r>
    </w:p>
    <w:p>
      <w:pPr>
        <w:pStyle w:val="ListNumber"/>
        <w:spacing w:after="40"/>
      </w:pPr>
      <w:r>
        <w:rPr>
          <w:rFonts w:ascii="Meiryo" w:hAnsi="Meiryo" w:eastAsia="Meiryo"/>
          <w:b w:val="0"/>
          <w:color w:val="000000"/>
          <w:sz w:val="21"/>
        </w:rPr>
        <w:t>スタートアップ後のリン酸テスト（5%を1.5L/h、10%を1L/hと1.5L/h）の段取りを決める。</w:t>
      </w:r>
    </w:p>
    <w:p>
      <w:pPr>
        <w:pStyle w:val="ListNumber"/>
        <w:spacing w:after="40"/>
      </w:pPr>
      <w:r>
        <w:rPr>
          <w:rFonts w:ascii="Meiryo" w:hAnsi="Meiryo" w:eastAsia="Meiryo"/>
          <w:b w:val="0"/>
          <w:color w:val="000000"/>
          <w:sz w:val="21"/>
        </w:rPr>
        <w:t>NaOHの運用基準（触媒交換後にアルデヒド低下を確認してから投入する手順案）を関係者へ正式に起こす。</w:t>
      </w:r>
    </w:p>
    <w:p>
      <w:pPr>
        <w:pStyle w:val="ListNumber"/>
        <w:spacing w:after="40"/>
      </w:pPr>
      <w:r>
        <w:rPr>
          <w:rFonts w:ascii="Meiryo" w:hAnsi="Meiryo" w:eastAsia="Meiryo"/>
          <w:b w:val="0"/>
          <w:color w:val="000000"/>
          <w:sz w:val="21"/>
        </w:rPr>
        <w:t>DEGラインへのIER導入案について、色相悪化DEGサンプルの樹脂通過テストの準備を進める。</w:t>
      </w:r>
    </w:p>
    <w:p>
      <w:pPr>
        <w:pStyle w:val="Heading2"/>
      </w:pPr>
      <w:r>
        <w:rPr>
          <w:rFonts w:ascii="Meiryo" w:hAnsi="Meiryo" w:eastAsia="Meiryo"/>
          <w:b/>
          <w:color w:val="000000"/>
          <w:sz w:val="25"/>
        </w:rPr>
        <w:t>7.2 要検証・齟齬</w:t>
      </w:r>
    </w:p>
    <w:p>
      <w:pPr>
        <w:pStyle w:val="ListBullet"/>
        <w:spacing w:after="40"/>
      </w:pPr>
      <w:r>
        <w:rPr>
          <w:rFonts w:ascii="Meiryo" w:hAnsi="Meiryo" w:eastAsia="Meiryo"/>
          <w:b w:val="0"/>
          <w:color w:val="000000"/>
          <w:sz w:val="21"/>
        </w:rPr>
        <w:t>リン酸の効きが、リンそのものか持ち込み水分かを切り分ける。決め手はC-1503壁面のP分析。</w:t>
      </w:r>
    </w:p>
    <w:p>
      <w:pPr>
        <w:pStyle w:val="ListBullet"/>
        <w:spacing w:after="40"/>
      </w:pPr>
      <w:r>
        <w:rPr>
          <w:rFonts w:ascii="Meiryo" w:hAnsi="Meiryo" w:eastAsia="Meiryo"/>
          <w:b w:val="0"/>
          <w:color w:val="000000"/>
          <w:sz w:val="21"/>
        </w:rPr>
        <w:t>リン酸添加位置の記録に齟齬（4/20連続がSIDE還流かTOP還流か）。要確認。</w:t>
      </w:r>
    </w:p>
    <w:p>
      <w:pPr>
        <w:pStyle w:val="ListBullet"/>
        <w:spacing w:after="40"/>
      </w:pPr>
      <w:r>
        <w:rPr>
          <w:rFonts w:ascii="Meiryo" w:hAnsi="Meiryo" w:eastAsia="Meiryo"/>
          <w:b w:val="0"/>
          <w:color w:val="000000"/>
          <w:sz w:val="21"/>
        </w:rPr>
        <w:t>6/15のリン酸前後比較でアクロレインがむしろ増えた点（SC-1503／SC-1506）。古いサンプルで再確認。</w:t>
      </w:r>
    </w:p>
    <w:p>
      <w:pPr>
        <w:pStyle w:val="ListBullet"/>
        <w:spacing w:after="40"/>
      </w:pPr>
      <w:r>
        <w:rPr>
          <w:rFonts w:ascii="Meiryo" w:hAnsi="Meiryo" w:eastAsia="Meiryo"/>
          <w:b w:val="0"/>
          <w:color w:val="000000"/>
          <w:sz w:val="21"/>
        </w:rPr>
        <w:t>F-ALDとA-ALDの交差からアクロレインへ至る経路の寄与度。450nmの直接証拠がない。</w:t>
      </w:r>
    </w:p>
    <w:p>
      <w:pPr>
        <w:pStyle w:val="ListBullet"/>
        <w:spacing w:after="40"/>
      </w:pPr>
      <w:r>
        <w:rPr>
          <w:rFonts w:ascii="Meiryo" w:hAnsi="Meiryo" w:eastAsia="Meiryo"/>
          <w:b w:val="0"/>
          <w:color w:val="000000"/>
          <w:sz w:val="21"/>
        </w:rPr>
        <w:t>窒素で色相悪化が止まる機序（ラジカル停止・CO₂溶解によるpH低下・吸湿による水分での縮合抑制）の切り分け。</w:t>
      </w:r>
    </w:p>
    <w:p>
      <w:pPr>
        <w:pStyle w:val="ListBullet"/>
        <w:spacing w:after="40"/>
      </w:pPr>
      <w:r>
        <w:rPr>
          <w:rFonts w:ascii="Meiryo" w:hAnsi="Meiryo" w:eastAsia="Meiryo"/>
          <w:b w:val="0"/>
          <w:color w:val="000000"/>
          <w:sz w:val="21"/>
        </w:rPr>
        <w:t>ポリエナール濃度の桁を逆算で把握する（顧客対応に必要）。</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Meiryo" w:hAnsi="Meiryo" w:eastAsia="Meiry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EG品質の現状とDEG色相悪化への対応</dc:title>
  <dc:subject/>
  <dc:creator>hirao kazuaki/0465811/平尾　一陽</dc:creator>
  <cp:keywords/>
  <dc:description/>
  <cp:lastModifiedBy>hirao kazuaki/0465811/平尾　一陽</cp:lastModifiedBy>
  <cp:revision>1</cp:revision>
  <dcterms:created xsi:type="dcterms:W3CDTF">2013-12-23T23:15:00Z</dcterms:created>
  <dcterms:modified xsi:type="dcterms:W3CDTF">2013-12-23T23:15:00Z</dcterms:modified>
  <cp:category/>
</cp:coreProperties>
</file>