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1. System Abstraction</w:t>
      </w:r>
    </w:p>
    <w:p>
      <w:pPr>
        <w:spacing w:before="200" w:after="200"/>
      </w:pPr>
      <w:r>
        <w:rPr>
          <w:sz w:val="24"/>
          <w:szCs w:val="24"/>
        </w:rPr>
        <w:t xml:space="preserve">本システム「GitHub Trend Tracker」は、GitHubリポジトリの定量的トレンド（スター増加数など）を抽出し、Web上で高速に提供するWebサービスである。バックエンドはCloudflare Workers/HonoとD1（サーバーレスDB）を中心に構築され、低コストかつ高パフォーマンスを実現する。日次バッチ処理（GitHub Actions/Cloudflare Cron）により、リポジトリのスナップショットデータを取得し、過去90日間の時系列データおよび7日間/30日間の増加率を計算し、成長傾向の分析を可能にする。フロントエンドはAstro/Reactで構築され、SPAライクな操作感とレスポンシブなUIを提供する。将来的に、AI要約機能（FUN-035, 041）を提供し、そのための認証（GitHub OAuth）と課金基盤（Stripe連携）をPhase 2以降で確立する。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2. Coding rules</w:t>
      </w:r>
    </w:p>
    <w:p>
      <w:pPr>
        <w:spacing w:before="200" w:after="200"/>
      </w:pPr>
      <w:r>
        <w:rPr>
          <w:sz w:val="24"/>
          <w:szCs w:val="24"/>
        </w:rPr>
        <w:t xml:space="preserve">1. **言語統一:** 全てのコードベースにおいてTypeScriptを必須とする。厳密な型チェックと型定義を行う。
2. **命名規則:** 変数名、関数名は`camelCase`、Reactコンポーネント名、型名は`PascalCase`、定数は`SCREAMING_SNAKE_CASE`を使用する。
3. **非同期処理:** Cloudflare Workersの特性を考慮し、I/O処理やDBアクセスは非同期とし、パフォーマンス向上のため可能な限り`Promise.all`を用いた並列処理を優先する。
4. **DBアクセス:** Drizzle ORMを使用し、生のSQLの利用は許可しない。全てのクエリにはプリペアドステートメントまたはバインド変数を使用する。
5. **コード品質:** ESLintおよびPrettierを導入し、インデント（2スペース推奨）や構文の統一を図る。コードマージ前に必ずレビュープロセスを実施する。
6. **エラーハンドリング:** APIハンドラでは必ずtry-catch構造を使用し、クライアントにはHTTPステータスコード（例: 400, 404, 500）とJSON形式のエラーレスポンスを返す。</w:t>
      </w:r>
    </w:p>
    <w:p>
      <w:pPr>
        <w:pStyle w:val="Heading1"/>
        <w:spacing w:before="400" w:after="200"/>
      </w:pPr>
      <w:r>
        <w:rPr>
          <w:b/>
          <w:bCs/>
          <w:sz w:val="28"/>
          <w:szCs w:val="28"/>
        </w:rPr>
        <w:t xml:space="preserve">3. Design rules</w:t>
      </w:r>
    </w:p>
    <w:p>
      <w:pPr>
        <w:spacing w:before="200" w:after="200"/>
      </w:pPr>
      <w:r>
        <w:rPr>
          <w:sz w:val="24"/>
          <w:szCs w:val="24"/>
        </w:rPr>
        <w:t xml:space="preserve">1. **カラーパレット:** 信頼性と技術的な清潔感を表現するため、彩度を抑えた青色を基調とする。
   *   プライマリ/アクセントカラー（グラフ、リンク）：`#0077B6`
   *   セカンダリカラー（サブアクション）：`#4CC9F0`
   *   背景色（ライトモード）：`#FFFFFF`
   *   標準テキストカラー：`#333333`
2. **フォント:** 視認性が高く、技術的なドキュメントに適したSans-serifフォント（例: Inter, Noto Sans JP）を採用する。
3. **レスポンシブ対応:** モバイルファーストでデザインし、全ての機能（特にランキング一覧とグラフ表示）がスマートフォンでも快適に利用できることを保証する（FUN-029）。
4. **データ可視化:** グラフ（FUN-013）はシンプルかつ直感的に理解できるデザインとし、ツールチップ（FUN-045）により正確な数値を迅速に提供する。グラフ内の情報は単一のリポジトリの成長曲線に焦点を当てる。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2026-02-08T11:14:05.128Z</dcterms:created>
  <dcterms:modified xsi:type="dcterms:W3CDTF">2026-02-08T11:14:05.128Z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