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Capacitor Selection and Reliability Optimization System for a DC–DC Converter</w:t>
      </w:r>
    </w:p>
    <w:p>
      <w:pPr>
        <w:jc w:val="center"/>
      </w:pPr>
      <w:r>
        <w:t>MATLAB-Based Research Framework with Commercial Component Screening and Simulink Validation Plan</w:t>
      </w:r>
    </w:p>
    <w:p>
      <w:pPr>
        <w:jc w:val="center"/>
      </w:pPr>
      <w:r>
        <w:t>Prepared for research development | October 2026</w:t>
      </w:r>
    </w:p>
    <w:p>
      <w:pPr>
        <w:pStyle w:val="Heading1"/>
      </w:pPr>
      <w:r>
        <w:t>Abstract</w:t>
      </w:r>
    </w:p>
    <w:p>
      <w:r>
        <w:t>This report presents a staged framework for selecting commercially available output capacitors for a closed-loop buck converter. The prototype combines analytical ripple-current calculations, tolerance-aware capacitance screening, ESR-related ripple and loss estimates, a ten-part commercial shortlist, strict qualification flags, and a weighted scoring architecture. The baseline is a 24 V input, 12 V output reference, 1 mH inductor, 50 kHz switching frequency, and 3.75 Ω load. Calculations yield an ideal duty ratio of 0.5, 0.12 A peak-to-peak inductor ripple, approximately 34.6 mA capacitor RMS ripple current, and 3 µF ideal minimum capacitance for a 100 mV capacitive-ripple target. A nominal 22 µF candidate has 17.6 µF minimum capacitance under a ±20% tolerance. The report distinguishes provisional estimates from verified ratings and does not declare a final winner because several data fields remain incomplete.</w:t>
      </w:r>
    </w:p>
    <w:p>
      <w:r>
        <w:t>Index Terms—capacitor selection, buck converter, ESR, ripple current, reliability, lifetime estimation, optimization, MATLAB, Simulink.</w:t>
      </w:r>
    </w:p>
    <w:p>
      <w:pPr>
        <w:pStyle w:val="Heading1"/>
      </w:pPr>
      <w:r>
        <w:t>I. INTRODUCTION</w:t>
      </w:r>
    </w:p>
    <w:p>
      <w:r>
        <w:t>Output capacitors influence ripple, load-step response, thermal stress, control-loop behavior, footprint, cost, and service life. This project frames capacitor selection as constrained optimization with data provenance and validation.</w:t>
      </w:r>
    </w:p>
    <w:p>
      <w:pPr>
        <w:pStyle w:val="Heading1"/>
      </w:pPr>
      <w:r>
        <w:t>II. OBJECTIVES AND SCOPE</w:t>
      </w:r>
    </w:p>
    <w:p>
      <w:r>
        <w:t>Derive application requirements, maintain a traceable commercial database, apply hard constraints, estimate ripple and ESR loss, distinguish provisional scores from strict qualification, and define repeatable Simulink/hardware validation.</w:t>
      </w:r>
    </w:p>
    <w:p>
      <w:pPr>
        <w:pStyle w:val="Heading1"/>
      </w:pPr>
      <w:r>
        <w:t>III. SYSTEM MODEL AND BLOCK DIAGRAM</w:t>
      </w:r>
    </w:p>
    <w:p>
      <w:r>
        <w:t>The model uses 24 V input, 12 V reference, 1 mH inductor, 50 kHz PWM, and 3.75 Ω fixed load. The cyclic-load profile must be held constant across candidate tests.</w:t>
      </w:r>
    </w:p>
    <w:p>
      <w:r>
        <w:drawing>
          <wp:inline xmlns:a="http://schemas.openxmlformats.org/drawingml/2006/main" xmlns:pic="http://schemas.openxmlformats.org/drawingml/2006/picture">
            <wp:extent cx="5760720" cy="1619089"/>
            <wp:docPr id="1" name="Picture 1"/>
            <wp:cNvGraphicFramePr>
              <a:graphicFrameLocks noChangeAspect="1"/>
            </wp:cNvGraphicFramePr>
            <a:graphic>
              <a:graphicData uri="http://schemas.openxmlformats.org/drawingml/2006/picture">
                <pic:pic>
                  <pic:nvPicPr>
                    <pic:cNvPr id="0" name="buck_block_diagram.png"/>
                    <pic:cNvPicPr/>
                  </pic:nvPicPr>
                  <pic:blipFill>
                    <a:blip r:embed="rId9"/>
                    <a:stretch>
                      <a:fillRect/>
                    </a:stretch>
                  </pic:blipFill>
                  <pic:spPr>
                    <a:xfrm>
                      <a:off x="0" y="0"/>
                      <a:ext cx="5760720" cy="1619089"/>
                    </a:xfrm>
                    <a:prstGeom prst="rect"/>
                  </pic:spPr>
                </pic:pic>
              </a:graphicData>
            </a:graphic>
          </wp:inline>
        </w:drawing>
      </w:r>
    </w:p>
    <w:p>
      <w:r>
        <w:t>Fig. 1. Conceptual buck converter block diagram.</w:t>
      </w:r>
    </w:p>
    <w:p>
      <w:r>
        <w:drawing>
          <wp:inline xmlns:a="http://schemas.openxmlformats.org/drawingml/2006/main" xmlns:pic="http://schemas.openxmlformats.org/drawingml/2006/picture">
            <wp:extent cx="5760720" cy="1619089"/>
            <wp:docPr id="2" name="Picture 2"/>
            <wp:cNvGraphicFramePr>
              <a:graphicFrameLocks noChangeAspect="1"/>
            </wp:cNvGraphicFramePr>
            <a:graphic>
              <a:graphicData uri="http://schemas.openxmlformats.org/drawingml/2006/picture">
                <pic:pic>
                  <pic:nvPicPr>
                    <pic:cNvPr id="0" name="buck_boost_extension.png"/>
                    <pic:cNvPicPr/>
                  </pic:nvPicPr>
                  <pic:blipFill>
                    <a:blip r:embed="rId10"/>
                    <a:stretch>
                      <a:fillRect/>
                    </a:stretch>
                  </pic:blipFill>
                  <pic:spPr>
                    <a:xfrm>
                      <a:off x="0" y="0"/>
                      <a:ext cx="5760720" cy="1619089"/>
                    </a:xfrm>
                    <a:prstGeom prst="rect"/>
                  </pic:spPr>
                </pic:pic>
              </a:graphicData>
            </a:graphic>
          </wp:inline>
        </w:drawing>
      </w:r>
    </w:p>
    <w:p>
      <w:r>
        <w:t>Fig. 2. Future buck–boost extension.</w:t>
      </w:r>
    </w:p>
    <w:p>
      <w:pPr>
        <w:pStyle w:val="Heading1"/>
      </w:pPr>
      <w:r>
        <w:t>IV. PARAMETER CALCULATIONS</w:t>
      </w:r>
    </w:p>
    <w:p>
      <w:r>
        <w:t>D=Vout/Vin=0.5. ΔIL=(Vin−Vout)D/(Lfs)=0.120 A p-p. IC,rms≈ΔIL/(2√3)=0.0346 A. Iout=3.20 A; Pout=38.4 W. For 100 mV capacitive ripple, ideal Cmin=3.00 µF. A 22 µF capacitor with −20% tolerance has 17.6 µF minimum and ideal capacitive ripple 17.05 mV p-p. This is a lower bound, not a transient/stability design guarantee.</w:t>
      </w:r>
    </w:p>
    <w:p>
      <w:pPr>
        <w:pStyle w:val="Heading1"/>
      </w:pPr>
      <w:r>
        <w:t>V. COMMERCIAL CANDIDATES</w:t>
      </w:r>
    </w:p>
    <w:p>
      <w:r>
        <w:t>The ten candidates below are a research shortlist, not a set of fully verified interchangeable components. The Panasonic 35SVPF22M official page reports 22 µF, 35 V, 35 mΩ at 100 kHz, 2.6 A at 100 kHz and 105°C, and 5000 h at 105°C. The Panasonic EEE-HB1V220AP page reports 55 mA at 120 Hz but no ESR in the product table. Other entries require exact datasheet verification.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pPr>
              <w:spacing w:line="240" w:lineRule="auto"/>
            </w:pPr>
            <w:r>
              <w:rPr>
                <w:rFonts w:ascii="Times New Roman" w:hAnsi="Times New Roman"/>
                <w:sz w:val="14"/>
              </w:rPr>
              <w:t>Manufacturer</w:t>
            </w:r>
          </w:p>
        </w:tc>
        <w:tc>
          <w:tcPr>
            <w:tcW w:type="dxa" w:w="1680"/>
          </w:tcPr>
          <w:p>
            <w:pPr>
              <w:spacing w:line="240" w:lineRule="auto"/>
            </w:pPr>
            <w:r>
              <w:rPr>
                <w:rFonts w:ascii="Times New Roman" w:hAnsi="Times New Roman"/>
                <w:sz w:val="14"/>
              </w:rPr>
              <w:t>Part number</w:t>
            </w:r>
          </w:p>
        </w:tc>
        <w:tc>
          <w:tcPr>
            <w:tcW w:type="dxa" w:w="1680"/>
          </w:tcPr>
          <w:p>
            <w:pPr>
              <w:spacing w:line="240" w:lineRule="auto"/>
            </w:pPr>
            <w:r>
              <w:rPr>
                <w:rFonts w:ascii="Times New Roman" w:hAnsi="Times New Roman"/>
                <w:sz w:val="14"/>
              </w:rPr>
              <w:t>V</w:t>
            </w:r>
          </w:p>
        </w:tc>
        <w:tc>
          <w:tcPr>
            <w:tcW w:type="dxa" w:w="1680"/>
          </w:tcPr>
          <w:p>
            <w:pPr>
              <w:spacing w:line="240" w:lineRule="auto"/>
            </w:pPr>
            <w:r>
              <w:rPr>
                <w:rFonts w:ascii="Times New Roman" w:hAnsi="Times New Roman"/>
                <w:sz w:val="14"/>
              </w:rPr>
              <w:t>ESR mΩ</w:t>
            </w:r>
          </w:p>
        </w:tc>
        <w:tc>
          <w:tcPr>
            <w:tcW w:type="dxa" w:w="1680"/>
          </w:tcPr>
          <w:p>
            <w:pPr>
              <w:spacing w:line="240" w:lineRule="auto"/>
            </w:pPr>
            <w:r>
              <w:rPr>
                <w:rFonts w:ascii="Times New Roman" w:hAnsi="Times New Roman"/>
                <w:sz w:val="14"/>
              </w:rPr>
              <w:t>Ripple A</w:t>
            </w:r>
          </w:p>
        </w:tc>
        <w:tc>
          <w:tcPr>
            <w:tcW w:type="dxa" w:w="1680"/>
          </w:tcPr>
          <w:p>
            <w:pPr>
              <w:spacing w:line="240" w:lineRule="auto"/>
            </w:pPr>
            <w:r>
              <w:rPr>
                <w:rFonts w:ascii="Times New Roman" w:hAnsi="Times New Roman"/>
                <w:sz w:val="14"/>
              </w:rPr>
              <w:t>Data note</w:t>
            </w:r>
          </w:p>
        </w:tc>
      </w:tr>
      <w:tr>
        <w:tc>
          <w:tcPr>
            <w:tcW w:type="dxa" w:w="1680"/>
          </w:tcPr>
          <w:p>
            <w:pPr>
              <w:spacing w:line="240" w:lineRule="auto"/>
            </w:pPr>
            <w:r>
              <w:rPr>
                <w:rFonts w:ascii="Times New Roman" w:hAnsi="Times New Roman"/>
                <w:sz w:val="14"/>
              </w:rPr>
              <w:t>Panasonic</w:t>
            </w:r>
          </w:p>
        </w:tc>
        <w:tc>
          <w:tcPr>
            <w:tcW w:type="dxa" w:w="1680"/>
          </w:tcPr>
          <w:p>
            <w:pPr>
              <w:spacing w:line="240" w:lineRule="auto"/>
            </w:pPr>
            <w:r>
              <w:rPr>
                <w:rFonts w:ascii="Times New Roman" w:hAnsi="Times New Roman"/>
                <w:sz w:val="14"/>
              </w:rPr>
              <w:t>EEE-HB1V220AP</w:t>
            </w:r>
          </w:p>
        </w:tc>
        <w:tc>
          <w:tcPr>
            <w:tcW w:type="dxa" w:w="1680"/>
          </w:tcPr>
          <w:p>
            <w:pPr>
              <w:spacing w:line="240" w:lineRule="auto"/>
            </w:pPr>
            <w:r>
              <w:rPr>
                <w:rFonts w:ascii="Times New Roman" w:hAnsi="Times New Roman"/>
                <w:sz w:val="14"/>
              </w:rPr>
              <w:t>35</w:t>
            </w:r>
          </w:p>
        </w:tc>
        <w:tc>
          <w:tcPr>
            <w:tcW w:type="dxa" w:w="1680"/>
          </w:tcPr>
          <w:p>
            <w:pPr>
              <w:spacing w:line="240" w:lineRule="auto"/>
            </w:pPr>
            <w:r>
              <w:rPr>
                <w:rFonts w:ascii="Times New Roman" w:hAnsi="Times New Roman"/>
                <w:sz w:val="14"/>
              </w:rPr>
              <w:t>Unknown</w:t>
            </w:r>
          </w:p>
        </w:tc>
        <w:tc>
          <w:tcPr>
            <w:tcW w:type="dxa" w:w="1680"/>
          </w:tcPr>
          <w:p>
            <w:pPr>
              <w:spacing w:line="240" w:lineRule="auto"/>
            </w:pPr>
            <w:r>
              <w:rPr>
                <w:rFonts w:ascii="Times New Roman" w:hAnsi="Times New Roman"/>
                <w:sz w:val="14"/>
              </w:rPr>
              <w:t>0.055</w:t>
            </w:r>
          </w:p>
        </w:tc>
        <w:tc>
          <w:tcPr>
            <w:tcW w:type="dxa" w:w="1680"/>
          </w:tcPr>
          <w:p>
            <w:pPr>
              <w:spacing w:line="240" w:lineRule="auto"/>
            </w:pPr>
            <w:r>
              <w:rPr>
                <w:rFonts w:ascii="Times New Roman" w:hAnsi="Times New Roman"/>
                <w:sz w:val="14"/>
              </w:rPr>
              <w:t>55 mA at 120 Hz; ESR not published in product table</w:t>
            </w:r>
          </w:p>
        </w:tc>
      </w:tr>
      <w:tr>
        <w:tc>
          <w:tcPr>
            <w:tcW w:type="dxa" w:w="1680"/>
          </w:tcPr>
          <w:p>
            <w:pPr>
              <w:spacing w:line="240" w:lineRule="auto"/>
            </w:pPr>
            <w:r>
              <w:rPr>
                <w:rFonts w:ascii="Times New Roman" w:hAnsi="Times New Roman"/>
                <w:sz w:val="14"/>
              </w:rPr>
              <w:t>Panasonic</w:t>
            </w:r>
          </w:p>
        </w:tc>
        <w:tc>
          <w:tcPr>
            <w:tcW w:type="dxa" w:w="1680"/>
          </w:tcPr>
          <w:p>
            <w:pPr>
              <w:spacing w:line="240" w:lineRule="auto"/>
            </w:pPr>
            <w:r>
              <w:rPr>
                <w:rFonts w:ascii="Times New Roman" w:hAnsi="Times New Roman"/>
                <w:sz w:val="14"/>
              </w:rPr>
              <w:t>25TQC22MD2</w:t>
            </w:r>
          </w:p>
        </w:tc>
        <w:tc>
          <w:tcPr>
            <w:tcW w:type="dxa" w:w="1680"/>
          </w:tcPr>
          <w:p>
            <w:pPr>
              <w:spacing w:line="240" w:lineRule="auto"/>
            </w:pPr>
            <w:r>
              <w:rPr>
                <w:rFonts w:ascii="Times New Roman" w:hAnsi="Times New Roman"/>
                <w:sz w:val="14"/>
              </w:rPr>
              <w:t>25</w:t>
            </w:r>
          </w:p>
        </w:tc>
        <w:tc>
          <w:tcPr>
            <w:tcW w:type="dxa" w:w="1680"/>
          </w:tcPr>
          <w:p>
            <w:pPr>
              <w:spacing w:line="240" w:lineRule="auto"/>
            </w:pPr>
            <w:r>
              <w:rPr>
                <w:rFonts w:ascii="Times New Roman" w:hAnsi="Times New Roman"/>
                <w:sz w:val="14"/>
              </w:rPr>
              <w:t>60</w:t>
            </w:r>
          </w:p>
        </w:tc>
        <w:tc>
          <w:tcPr>
            <w:tcW w:type="dxa" w:w="1680"/>
          </w:tcPr>
          <w:p>
            <w:pPr>
              <w:spacing w:line="240" w:lineRule="auto"/>
            </w:pPr>
            <w:r>
              <w:rPr>
                <w:rFonts w:ascii="Times New Roman" w:hAnsi="Times New Roman"/>
                <w:sz w:val="14"/>
              </w:rPr>
              <w:t>1.4</w:t>
            </w:r>
          </w:p>
        </w:tc>
        <w:tc>
          <w:tcPr>
            <w:tcW w:type="dxa" w:w="1680"/>
          </w:tcPr>
          <w:p>
            <w:pPr>
              <w:spacing w:line="240" w:lineRule="auto"/>
            </w:pPr>
            <w:r>
              <w:rPr>
                <w:rFonts w:ascii="Times New Roman" w:hAnsi="Times New Roman"/>
                <w:sz w:val="14"/>
              </w:rPr>
              <w:t>Prior listing; verify exact datasheet conditions</w:t>
            </w:r>
          </w:p>
        </w:tc>
      </w:tr>
      <w:tr>
        <w:tc>
          <w:tcPr>
            <w:tcW w:type="dxa" w:w="1680"/>
          </w:tcPr>
          <w:p>
            <w:pPr>
              <w:spacing w:line="240" w:lineRule="auto"/>
            </w:pPr>
            <w:r>
              <w:rPr>
                <w:rFonts w:ascii="Times New Roman" w:hAnsi="Times New Roman"/>
                <w:sz w:val="14"/>
              </w:rPr>
              <w:t>Panasonic</w:t>
            </w:r>
          </w:p>
        </w:tc>
        <w:tc>
          <w:tcPr>
            <w:tcW w:type="dxa" w:w="1680"/>
          </w:tcPr>
          <w:p>
            <w:pPr>
              <w:spacing w:line="240" w:lineRule="auto"/>
            </w:pPr>
            <w:r>
              <w:rPr>
                <w:rFonts w:ascii="Times New Roman" w:hAnsi="Times New Roman"/>
                <w:sz w:val="14"/>
              </w:rPr>
              <w:t>35SVPD22M</w:t>
            </w:r>
          </w:p>
        </w:tc>
        <w:tc>
          <w:tcPr>
            <w:tcW w:type="dxa" w:w="1680"/>
          </w:tcPr>
          <w:p>
            <w:pPr>
              <w:spacing w:line="240" w:lineRule="auto"/>
            </w:pPr>
            <w:r>
              <w:rPr>
                <w:rFonts w:ascii="Times New Roman" w:hAnsi="Times New Roman"/>
                <w:sz w:val="14"/>
              </w:rPr>
              <w:t>35</w:t>
            </w:r>
          </w:p>
        </w:tc>
        <w:tc>
          <w:tcPr>
            <w:tcW w:type="dxa" w:w="1680"/>
          </w:tcPr>
          <w:p>
            <w:pPr>
              <w:spacing w:line="240" w:lineRule="auto"/>
            </w:pPr>
            <w:r>
              <w:rPr>
                <w:rFonts w:ascii="Times New Roman" w:hAnsi="Times New Roman"/>
                <w:sz w:val="14"/>
              </w:rPr>
              <w:t>50</w:t>
            </w:r>
          </w:p>
        </w:tc>
        <w:tc>
          <w:tcPr>
            <w:tcW w:type="dxa" w:w="1680"/>
          </w:tcPr>
          <w:p>
            <w:pPr>
              <w:spacing w:line="240" w:lineRule="auto"/>
            </w:pPr>
            <w:r>
              <w:rPr>
                <w:rFonts w:ascii="Times New Roman" w:hAnsi="Times New Roman"/>
                <w:sz w:val="14"/>
              </w:rPr>
              <w:t>2.3</w:t>
            </w:r>
          </w:p>
        </w:tc>
        <w:tc>
          <w:tcPr>
            <w:tcW w:type="dxa" w:w="1680"/>
          </w:tcPr>
          <w:p>
            <w:pPr>
              <w:spacing w:line="240" w:lineRule="auto"/>
            </w:pPr>
            <w:r>
              <w:rPr>
                <w:rFonts w:ascii="Times New Roman" w:hAnsi="Times New Roman"/>
                <w:sz w:val="14"/>
              </w:rPr>
              <w:t>Prior listing; verify exact datasheet conditions</w:t>
            </w:r>
          </w:p>
        </w:tc>
      </w:tr>
      <w:tr>
        <w:tc>
          <w:tcPr>
            <w:tcW w:type="dxa" w:w="1680"/>
          </w:tcPr>
          <w:p>
            <w:pPr>
              <w:spacing w:line="240" w:lineRule="auto"/>
            </w:pPr>
            <w:r>
              <w:rPr>
                <w:rFonts w:ascii="Times New Roman" w:hAnsi="Times New Roman"/>
                <w:sz w:val="14"/>
              </w:rPr>
              <w:t>KEMET</w:t>
            </w:r>
          </w:p>
        </w:tc>
        <w:tc>
          <w:tcPr>
            <w:tcW w:type="dxa" w:w="1680"/>
          </w:tcPr>
          <w:p>
            <w:pPr>
              <w:spacing w:line="240" w:lineRule="auto"/>
            </w:pPr>
            <w:r>
              <w:rPr>
                <w:rFonts w:ascii="Times New Roman" w:hAnsi="Times New Roman"/>
                <w:sz w:val="14"/>
              </w:rPr>
              <w:t>T521V226M025ATE045</w:t>
            </w:r>
          </w:p>
        </w:tc>
        <w:tc>
          <w:tcPr>
            <w:tcW w:type="dxa" w:w="1680"/>
          </w:tcPr>
          <w:p>
            <w:pPr>
              <w:spacing w:line="240" w:lineRule="auto"/>
            </w:pPr>
            <w:r>
              <w:rPr>
                <w:rFonts w:ascii="Times New Roman" w:hAnsi="Times New Roman"/>
                <w:sz w:val="14"/>
              </w:rPr>
              <w:t>25</w:t>
            </w:r>
          </w:p>
        </w:tc>
        <w:tc>
          <w:tcPr>
            <w:tcW w:type="dxa" w:w="1680"/>
          </w:tcPr>
          <w:p>
            <w:pPr>
              <w:spacing w:line="240" w:lineRule="auto"/>
            </w:pPr>
            <w:r>
              <w:rPr>
                <w:rFonts w:ascii="Times New Roman" w:hAnsi="Times New Roman"/>
                <w:sz w:val="14"/>
              </w:rPr>
              <w:t>45</w:t>
            </w:r>
          </w:p>
        </w:tc>
        <w:tc>
          <w:tcPr>
            <w:tcW w:type="dxa" w:w="1680"/>
          </w:tcPr>
          <w:p>
            <w:pPr>
              <w:spacing w:line="240" w:lineRule="auto"/>
            </w:pPr>
            <w:r>
              <w:rPr>
                <w:rFonts w:ascii="Times New Roman" w:hAnsi="Times New Roman"/>
                <w:sz w:val="14"/>
              </w:rPr>
              <w:t>2.0</w:t>
            </w:r>
          </w:p>
        </w:tc>
        <w:tc>
          <w:tcPr>
            <w:tcW w:type="dxa" w:w="1680"/>
          </w:tcPr>
          <w:p>
            <w:pPr>
              <w:spacing w:line="240" w:lineRule="auto"/>
            </w:pPr>
            <w:r>
              <w:rPr>
                <w:rFonts w:ascii="Times New Roman" w:hAnsi="Times New Roman"/>
                <w:sz w:val="14"/>
              </w:rPr>
              <w:t>45 mΩ at 100 kHz; 2 A distributor listing</w:t>
            </w:r>
          </w:p>
        </w:tc>
      </w:tr>
      <w:tr>
        <w:tc>
          <w:tcPr>
            <w:tcW w:type="dxa" w:w="1680"/>
          </w:tcPr>
          <w:p>
            <w:pPr>
              <w:spacing w:line="240" w:lineRule="auto"/>
            </w:pPr>
            <w:r>
              <w:rPr>
                <w:rFonts w:ascii="Times New Roman" w:hAnsi="Times New Roman"/>
                <w:sz w:val="14"/>
              </w:rPr>
              <w:t>KEMET</w:t>
            </w:r>
          </w:p>
        </w:tc>
        <w:tc>
          <w:tcPr>
            <w:tcW w:type="dxa" w:w="1680"/>
          </w:tcPr>
          <w:p>
            <w:pPr>
              <w:spacing w:line="240" w:lineRule="auto"/>
            </w:pPr>
            <w:r>
              <w:rPr>
                <w:rFonts w:ascii="Times New Roman" w:hAnsi="Times New Roman"/>
                <w:sz w:val="14"/>
              </w:rPr>
              <w:t>T521B226M025ATE100</w:t>
            </w:r>
          </w:p>
        </w:tc>
        <w:tc>
          <w:tcPr>
            <w:tcW w:type="dxa" w:w="1680"/>
          </w:tcPr>
          <w:p>
            <w:pPr>
              <w:spacing w:line="240" w:lineRule="auto"/>
            </w:pPr>
            <w:r>
              <w:rPr>
                <w:rFonts w:ascii="Times New Roman" w:hAnsi="Times New Roman"/>
                <w:sz w:val="14"/>
              </w:rPr>
              <w:t>25</w:t>
            </w:r>
          </w:p>
        </w:tc>
        <w:tc>
          <w:tcPr>
            <w:tcW w:type="dxa" w:w="1680"/>
          </w:tcPr>
          <w:p>
            <w:pPr>
              <w:spacing w:line="240" w:lineRule="auto"/>
            </w:pPr>
            <w:r>
              <w:rPr>
                <w:rFonts w:ascii="Times New Roman" w:hAnsi="Times New Roman"/>
                <w:sz w:val="14"/>
              </w:rPr>
              <w:t>100</w:t>
            </w:r>
          </w:p>
        </w:tc>
        <w:tc>
          <w:tcPr>
            <w:tcW w:type="dxa" w:w="1680"/>
          </w:tcPr>
          <w:p>
            <w:pPr>
              <w:spacing w:line="240" w:lineRule="auto"/>
            </w:pPr>
            <w:r>
              <w:rPr>
                <w:rFonts w:ascii="Times New Roman" w:hAnsi="Times New Roman"/>
                <w:sz w:val="14"/>
              </w:rPr>
              <w:t>1.1</w:t>
            </w:r>
          </w:p>
        </w:tc>
        <w:tc>
          <w:tcPr>
            <w:tcW w:type="dxa" w:w="1680"/>
          </w:tcPr>
          <w:p>
            <w:pPr>
              <w:spacing w:line="240" w:lineRule="auto"/>
            </w:pPr>
            <w:r>
              <w:rPr>
                <w:rFonts w:ascii="Times New Roman" w:hAnsi="Times New Roman"/>
                <w:sz w:val="14"/>
              </w:rPr>
              <w:t>Prior listing; verify exact datasheet conditions</w:t>
            </w:r>
          </w:p>
        </w:tc>
      </w:tr>
      <w:tr>
        <w:tc>
          <w:tcPr>
            <w:tcW w:type="dxa" w:w="1680"/>
          </w:tcPr>
          <w:p>
            <w:pPr>
              <w:spacing w:line="240" w:lineRule="auto"/>
            </w:pPr>
            <w:r>
              <w:rPr>
                <w:rFonts w:ascii="Times New Roman" w:hAnsi="Times New Roman"/>
                <w:sz w:val="14"/>
              </w:rPr>
              <w:t>KEMET</w:t>
            </w:r>
          </w:p>
        </w:tc>
        <w:tc>
          <w:tcPr>
            <w:tcW w:type="dxa" w:w="1680"/>
          </w:tcPr>
          <w:p>
            <w:pPr>
              <w:spacing w:line="240" w:lineRule="auto"/>
            </w:pPr>
            <w:r>
              <w:rPr>
                <w:rFonts w:ascii="Times New Roman" w:hAnsi="Times New Roman"/>
                <w:sz w:val="14"/>
              </w:rPr>
              <w:t>A758EK226M1EAAE050</w:t>
            </w:r>
          </w:p>
        </w:tc>
        <w:tc>
          <w:tcPr>
            <w:tcW w:type="dxa" w:w="1680"/>
          </w:tcPr>
          <w:p>
            <w:pPr>
              <w:spacing w:line="240" w:lineRule="auto"/>
            </w:pPr>
            <w:r>
              <w:rPr>
                <w:rFonts w:ascii="Times New Roman" w:hAnsi="Times New Roman"/>
                <w:sz w:val="14"/>
              </w:rPr>
              <w:t>25</w:t>
            </w:r>
          </w:p>
        </w:tc>
        <w:tc>
          <w:tcPr>
            <w:tcW w:type="dxa" w:w="1680"/>
          </w:tcPr>
          <w:p>
            <w:pPr>
              <w:spacing w:line="240" w:lineRule="auto"/>
            </w:pPr>
            <w:r>
              <w:rPr>
                <w:rFonts w:ascii="Times New Roman" w:hAnsi="Times New Roman"/>
                <w:sz w:val="14"/>
              </w:rPr>
              <w:t>50</w:t>
            </w:r>
          </w:p>
        </w:tc>
        <w:tc>
          <w:tcPr>
            <w:tcW w:type="dxa" w:w="1680"/>
          </w:tcPr>
          <w:p>
            <w:pPr>
              <w:spacing w:line="240" w:lineRule="auto"/>
            </w:pPr>
            <w:r>
              <w:rPr>
                <w:rFonts w:ascii="Times New Roman" w:hAnsi="Times New Roman"/>
                <w:sz w:val="14"/>
              </w:rPr>
              <w:t>2.0</w:t>
            </w:r>
          </w:p>
        </w:tc>
        <w:tc>
          <w:tcPr>
            <w:tcW w:type="dxa" w:w="1680"/>
          </w:tcPr>
          <w:p>
            <w:pPr>
              <w:spacing w:line="240" w:lineRule="auto"/>
            </w:pPr>
            <w:r>
              <w:rPr>
                <w:rFonts w:ascii="Times New Roman" w:hAnsi="Times New Roman"/>
                <w:sz w:val="14"/>
              </w:rPr>
              <w:t>Prior listing; verify exact datasheet conditions</w:t>
            </w:r>
          </w:p>
        </w:tc>
      </w:tr>
      <w:tr>
        <w:tc>
          <w:tcPr>
            <w:tcW w:type="dxa" w:w="1680"/>
          </w:tcPr>
          <w:p>
            <w:pPr>
              <w:spacing w:line="240" w:lineRule="auto"/>
            </w:pPr>
            <w:r>
              <w:rPr>
                <w:rFonts w:ascii="Times New Roman" w:hAnsi="Times New Roman"/>
                <w:sz w:val="14"/>
              </w:rPr>
              <w:t>Nichicon</w:t>
            </w:r>
          </w:p>
        </w:tc>
        <w:tc>
          <w:tcPr>
            <w:tcW w:type="dxa" w:w="1680"/>
          </w:tcPr>
          <w:p>
            <w:pPr>
              <w:spacing w:line="240" w:lineRule="auto"/>
            </w:pPr>
            <w:r>
              <w:rPr>
                <w:rFonts w:ascii="Times New Roman" w:hAnsi="Times New Roman"/>
                <w:sz w:val="14"/>
              </w:rPr>
              <w:t>FP-025ME220M-SSR</w:t>
            </w:r>
          </w:p>
        </w:tc>
        <w:tc>
          <w:tcPr>
            <w:tcW w:type="dxa" w:w="1680"/>
          </w:tcPr>
          <w:p>
            <w:pPr>
              <w:spacing w:line="240" w:lineRule="auto"/>
            </w:pPr>
            <w:r>
              <w:rPr>
                <w:rFonts w:ascii="Times New Roman" w:hAnsi="Times New Roman"/>
                <w:sz w:val="14"/>
              </w:rPr>
              <w:t>25</w:t>
            </w:r>
          </w:p>
        </w:tc>
        <w:tc>
          <w:tcPr>
            <w:tcW w:type="dxa" w:w="1680"/>
          </w:tcPr>
          <w:p>
            <w:pPr>
              <w:spacing w:line="240" w:lineRule="auto"/>
            </w:pPr>
            <w:r>
              <w:rPr>
                <w:rFonts w:ascii="Times New Roman" w:hAnsi="Times New Roman"/>
                <w:sz w:val="14"/>
              </w:rPr>
              <w:t>40</w:t>
            </w:r>
          </w:p>
        </w:tc>
        <w:tc>
          <w:tcPr>
            <w:tcW w:type="dxa" w:w="1680"/>
          </w:tcPr>
          <w:p>
            <w:pPr>
              <w:spacing w:line="240" w:lineRule="auto"/>
            </w:pPr>
            <w:r>
              <w:rPr>
                <w:rFonts w:ascii="Times New Roman" w:hAnsi="Times New Roman"/>
                <w:sz w:val="14"/>
              </w:rPr>
              <w:t>2.1</w:t>
            </w:r>
          </w:p>
        </w:tc>
        <w:tc>
          <w:tcPr>
            <w:tcW w:type="dxa" w:w="1680"/>
          </w:tcPr>
          <w:p>
            <w:pPr>
              <w:spacing w:line="240" w:lineRule="auto"/>
            </w:pPr>
            <w:r>
              <w:rPr>
                <w:rFonts w:ascii="Times New Roman" w:hAnsi="Times New Roman"/>
                <w:sz w:val="14"/>
              </w:rPr>
              <w:t>Prior listing; verify exact datasheet conditions</w:t>
            </w:r>
          </w:p>
        </w:tc>
      </w:tr>
      <w:tr>
        <w:tc>
          <w:tcPr>
            <w:tcW w:type="dxa" w:w="1680"/>
          </w:tcPr>
          <w:p>
            <w:pPr>
              <w:spacing w:line="240" w:lineRule="auto"/>
            </w:pPr>
            <w:r>
              <w:rPr>
                <w:rFonts w:ascii="Times New Roman" w:hAnsi="Times New Roman"/>
                <w:sz w:val="14"/>
              </w:rPr>
              <w:t>Panasonic</w:t>
            </w:r>
          </w:p>
        </w:tc>
        <w:tc>
          <w:tcPr>
            <w:tcW w:type="dxa" w:w="1680"/>
          </w:tcPr>
          <w:p>
            <w:pPr>
              <w:spacing w:line="240" w:lineRule="auto"/>
            </w:pPr>
            <w:r>
              <w:rPr>
                <w:rFonts w:ascii="Times New Roman" w:hAnsi="Times New Roman"/>
                <w:sz w:val="14"/>
              </w:rPr>
              <w:t>35SVF22M</w:t>
            </w:r>
          </w:p>
        </w:tc>
        <w:tc>
          <w:tcPr>
            <w:tcW w:type="dxa" w:w="1680"/>
          </w:tcPr>
          <w:p>
            <w:pPr>
              <w:spacing w:line="240" w:lineRule="auto"/>
            </w:pPr>
            <w:r>
              <w:rPr>
                <w:rFonts w:ascii="Times New Roman" w:hAnsi="Times New Roman"/>
                <w:sz w:val="14"/>
              </w:rPr>
              <w:t>35</w:t>
            </w:r>
          </w:p>
        </w:tc>
        <w:tc>
          <w:tcPr>
            <w:tcW w:type="dxa" w:w="1680"/>
          </w:tcPr>
          <w:p>
            <w:pPr>
              <w:spacing w:line="240" w:lineRule="auto"/>
            </w:pPr>
            <w:r>
              <w:rPr>
                <w:rFonts w:ascii="Times New Roman" w:hAnsi="Times New Roman"/>
                <w:sz w:val="14"/>
              </w:rPr>
              <w:t>35</w:t>
            </w:r>
          </w:p>
        </w:tc>
        <w:tc>
          <w:tcPr>
            <w:tcW w:type="dxa" w:w="1680"/>
          </w:tcPr>
          <w:p>
            <w:pPr>
              <w:spacing w:line="240" w:lineRule="auto"/>
            </w:pPr>
            <w:r>
              <w:rPr>
                <w:rFonts w:ascii="Times New Roman" w:hAnsi="Times New Roman"/>
                <w:sz w:val="14"/>
              </w:rPr>
              <w:t>0.82</w:t>
            </w:r>
          </w:p>
        </w:tc>
        <w:tc>
          <w:tcPr>
            <w:tcW w:type="dxa" w:w="1680"/>
          </w:tcPr>
          <w:p>
            <w:pPr>
              <w:spacing w:line="240" w:lineRule="auto"/>
            </w:pPr>
            <w:r>
              <w:rPr>
                <w:rFonts w:ascii="Times New Roman" w:hAnsi="Times New Roman"/>
                <w:sz w:val="14"/>
              </w:rPr>
              <w:t>Verify exact ripple-current conditions</w:t>
            </w:r>
          </w:p>
        </w:tc>
      </w:tr>
      <w:tr>
        <w:tc>
          <w:tcPr>
            <w:tcW w:type="dxa" w:w="1680"/>
          </w:tcPr>
          <w:p>
            <w:pPr>
              <w:spacing w:line="240" w:lineRule="auto"/>
            </w:pPr>
            <w:r>
              <w:rPr>
                <w:rFonts w:ascii="Times New Roman" w:hAnsi="Times New Roman"/>
                <w:sz w:val="14"/>
              </w:rPr>
              <w:t>Panasonic</w:t>
            </w:r>
          </w:p>
        </w:tc>
        <w:tc>
          <w:tcPr>
            <w:tcW w:type="dxa" w:w="1680"/>
          </w:tcPr>
          <w:p>
            <w:pPr>
              <w:spacing w:line="240" w:lineRule="auto"/>
            </w:pPr>
            <w:r>
              <w:rPr>
                <w:rFonts w:ascii="Times New Roman" w:hAnsi="Times New Roman"/>
                <w:sz w:val="14"/>
              </w:rPr>
              <w:t>35SVPF22M</w:t>
            </w:r>
          </w:p>
        </w:tc>
        <w:tc>
          <w:tcPr>
            <w:tcW w:type="dxa" w:w="1680"/>
          </w:tcPr>
          <w:p>
            <w:pPr>
              <w:spacing w:line="240" w:lineRule="auto"/>
            </w:pPr>
            <w:r>
              <w:rPr>
                <w:rFonts w:ascii="Times New Roman" w:hAnsi="Times New Roman"/>
                <w:sz w:val="14"/>
              </w:rPr>
              <w:t>35</w:t>
            </w:r>
          </w:p>
        </w:tc>
        <w:tc>
          <w:tcPr>
            <w:tcW w:type="dxa" w:w="1680"/>
          </w:tcPr>
          <w:p>
            <w:pPr>
              <w:spacing w:line="240" w:lineRule="auto"/>
            </w:pPr>
            <w:r>
              <w:rPr>
                <w:rFonts w:ascii="Times New Roman" w:hAnsi="Times New Roman"/>
                <w:sz w:val="14"/>
              </w:rPr>
              <w:t>35</w:t>
            </w:r>
          </w:p>
        </w:tc>
        <w:tc>
          <w:tcPr>
            <w:tcW w:type="dxa" w:w="1680"/>
          </w:tcPr>
          <w:p>
            <w:pPr>
              <w:spacing w:line="240" w:lineRule="auto"/>
            </w:pPr>
            <w:r>
              <w:rPr>
                <w:rFonts w:ascii="Times New Roman" w:hAnsi="Times New Roman"/>
                <w:sz w:val="14"/>
              </w:rPr>
              <w:t>2.6</w:t>
            </w:r>
          </w:p>
        </w:tc>
        <w:tc>
          <w:tcPr>
            <w:tcW w:type="dxa" w:w="1680"/>
          </w:tcPr>
          <w:p>
            <w:pPr>
              <w:spacing w:line="240" w:lineRule="auto"/>
            </w:pPr>
            <w:r>
              <w:rPr>
                <w:rFonts w:ascii="Times New Roman" w:hAnsi="Times New Roman"/>
                <w:sz w:val="14"/>
              </w:rPr>
              <w:t>Official data: 2.6 A at 100 kHz, 105°C; 5000 h at 105°C</w:t>
            </w:r>
          </w:p>
        </w:tc>
      </w:tr>
      <w:tr>
        <w:tc>
          <w:tcPr>
            <w:tcW w:type="dxa" w:w="1680"/>
          </w:tcPr>
          <w:p>
            <w:pPr>
              <w:spacing w:line="240" w:lineRule="auto"/>
            </w:pPr>
            <w:r>
              <w:rPr>
                <w:rFonts w:ascii="Times New Roman" w:hAnsi="Times New Roman"/>
                <w:sz w:val="14"/>
              </w:rPr>
              <w:t>Panasonic</w:t>
            </w:r>
          </w:p>
        </w:tc>
        <w:tc>
          <w:tcPr>
            <w:tcW w:type="dxa" w:w="1680"/>
          </w:tcPr>
          <w:p>
            <w:pPr>
              <w:spacing w:line="240" w:lineRule="auto"/>
            </w:pPr>
            <w:r>
              <w:rPr>
                <w:rFonts w:ascii="Times New Roman" w:hAnsi="Times New Roman"/>
                <w:sz w:val="14"/>
              </w:rPr>
              <w:t>EEE-FN1V220R</w:t>
            </w:r>
          </w:p>
        </w:tc>
        <w:tc>
          <w:tcPr>
            <w:tcW w:type="dxa" w:w="1680"/>
          </w:tcPr>
          <w:p>
            <w:pPr>
              <w:spacing w:line="240" w:lineRule="auto"/>
            </w:pPr>
            <w:r>
              <w:rPr>
                <w:rFonts w:ascii="Times New Roman" w:hAnsi="Times New Roman"/>
                <w:sz w:val="14"/>
              </w:rPr>
              <w:t>35</w:t>
            </w:r>
          </w:p>
        </w:tc>
        <w:tc>
          <w:tcPr>
            <w:tcW w:type="dxa" w:w="1680"/>
          </w:tcPr>
          <w:p>
            <w:pPr>
              <w:spacing w:line="240" w:lineRule="auto"/>
            </w:pPr>
            <w:r>
              <w:rPr>
                <w:rFonts w:ascii="Times New Roman" w:hAnsi="Times New Roman"/>
                <w:sz w:val="14"/>
              </w:rPr>
              <w:t>700</w:t>
            </w:r>
          </w:p>
        </w:tc>
        <w:tc>
          <w:tcPr>
            <w:tcW w:type="dxa" w:w="1680"/>
          </w:tcPr>
          <w:p>
            <w:pPr>
              <w:spacing w:line="240" w:lineRule="auto"/>
            </w:pPr>
            <w:r>
              <w:rPr>
                <w:rFonts w:ascii="Times New Roman" w:hAnsi="Times New Roman"/>
                <w:sz w:val="14"/>
              </w:rPr>
              <w:t>0.16</w:t>
            </w:r>
          </w:p>
        </w:tc>
        <w:tc>
          <w:tcPr>
            <w:tcW w:type="dxa" w:w="1680"/>
          </w:tcPr>
          <w:p>
            <w:pPr>
              <w:spacing w:line="240" w:lineRule="auto"/>
            </w:pPr>
            <w:r>
              <w:rPr>
                <w:rFonts w:ascii="Times New Roman" w:hAnsi="Times New Roman"/>
                <w:sz w:val="14"/>
              </w:rPr>
              <w:t>Prior listing; verify exact datasheet conditions</w:t>
            </w:r>
          </w:p>
        </w:tc>
      </w:tr>
    </w:tbl>
    <w:p>
      <w:pPr>
        <w:pStyle w:val="Heading1"/>
      </w:pPr>
      <w:r>
        <w:t>VI. ALGORITHM EVOLUTION: V1–V4</w:t>
      </w:r>
    </w:p>
    <w:p>
      <w:r>
        <w:drawing>
          <wp:inline xmlns:a="http://schemas.openxmlformats.org/drawingml/2006/main" xmlns:pic="http://schemas.openxmlformats.org/drawingml/2006/picture">
            <wp:extent cx="5760720" cy="1458258"/>
            <wp:docPr id="3" name="Picture 3"/>
            <wp:cNvGraphicFramePr>
              <a:graphicFrameLocks noChangeAspect="1"/>
            </wp:cNvGraphicFramePr>
            <a:graphic>
              <a:graphicData uri="http://schemas.openxmlformats.org/drawingml/2006/picture">
                <pic:pic>
                  <pic:nvPicPr>
                    <pic:cNvPr id="0" name="algorithm_versions.png"/>
                    <pic:cNvPicPr/>
                  </pic:nvPicPr>
                  <pic:blipFill>
                    <a:blip r:embed="rId11"/>
                    <a:stretch>
                      <a:fillRect/>
                    </a:stretch>
                  </pic:blipFill>
                  <pic:spPr>
                    <a:xfrm>
                      <a:off x="0" y="0"/>
                      <a:ext cx="5760720" cy="1458258"/>
                    </a:xfrm>
                    <a:prstGeom prst="rect"/>
                  </pic:spPr>
                </pic:pic>
              </a:graphicData>
            </a:graphic>
          </wp:inline>
        </w:drawing>
      </w:r>
    </w:p>
    <w:p>
      <w:r>
        <w:t>V1: basic calculations and hard constraints. V2: exact commercial parts and ESR-aware estimates. V3: provisional versus strict qualification. V4: weighted electrical/reliability/lifetime/cost scoring with missing values left unknown.</w:t>
      </w:r>
    </w:p>
    <w:p>
      <w:pPr>
        <w:pStyle w:val="Heading1"/>
      </w:pPr>
      <w:r>
        <w:t>VII. SCORING METHODOLOGY</w:t>
      </w:r>
    </w:p>
    <w:p>
      <w:r>
        <w:t>Weights: electrical 30%, reliability 30%, lifetime 25%, cost 15%. Electrical subscore: ripple 70%, ESR loss 30%. Relative lower-is-better normalization maps the minimum in the candidate set to 100 and maximum to 0. This is not an absolute quality score. FinalScore remains unavailable until verified current margin, lifetime at operating temperature, and comparable price data are supplied.</w:t>
      </w:r>
    </w:p>
    <w:p>
      <w:pPr>
        <w:pStyle w:val="Heading1"/>
      </w:pPr>
      <w:r>
        <w:t>VIII. PRELIMINARY RESULTS</w:t>
      </w:r>
    </w:p>
    <w:p>
      <w:r>
        <w:t>The lowest estimated ripple is approximately 21.245 mV p-p for Panasonic 35SVF22M and 35SVPF22M, followed by 21.845 mV for Nichicon FP-025ME220M-SSR. These are estimates based on entered ESR, not measurements. Current script result: nine provisional passes and zero fully qualified candidates because all verification flags are false.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Part number</w:t>
            </w:r>
          </w:p>
        </w:tc>
        <w:tc>
          <w:tcPr>
            <w:tcW w:type="dxa" w:w="2016"/>
          </w:tcPr>
          <w:p>
            <w:r>
              <w:t>ESR mΩ</w:t>
            </w:r>
          </w:p>
        </w:tc>
        <w:tc>
          <w:tcPr>
            <w:tcW w:type="dxa" w:w="2016"/>
          </w:tcPr>
          <w:p>
            <w:r>
              <w:t>Ripple mV p-p</w:t>
            </w:r>
          </w:p>
        </w:tc>
        <w:tc>
          <w:tcPr>
            <w:tcW w:type="dxa" w:w="2016"/>
          </w:tcPr>
          <w:p>
            <w:r>
              <w:t>Loss µW</w:t>
            </w:r>
          </w:p>
        </w:tc>
        <w:tc>
          <w:tcPr>
            <w:tcW w:type="dxa" w:w="2016"/>
          </w:tcPr>
          <w:p>
            <w:r>
              <w:t>Electrical score</w:t>
            </w:r>
          </w:p>
        </w:tc>
      </w:tr>
      <w:tr>
        <w:tc>
          <w:tcPr>
            <w:tcW w:type="dxa" w:w="2016"/>
          </w:tcPr>
          <w:p>
            <w:r>
              <w:t>35SVF22M</w:t>
            </w:r>
          </w:p>
        </w:tc>
        <w:tc>
          <w:tcPr>
            <w:tcW w:type="dxa" w:w="2016"/>
          </w:tcPr>
          <w:p>
            <w:r>
              <w:t>35.0</w:t>
            </w:r>
          </w:p>
        </w:tc>
        <w:tc>
          <w:tcPr>
            <w:tcW w:type="dxa" w:w="2016"/>
          </w:tcPr>
          <w:p>
            <w:r>
              <w:t>21.25</w:t>
            </w:r>
          </w:p>
        </w:tc>
        <w:tc>
          <w:tcPr>
            <w:tcW w:type="dxa" w:w="2016"/>
          </w:tcPr>
          <w:p>
            <w:r>
              <w:t>42.00</w:t>
            </w:r>
          </w:p>
        </w:tc>
        <w:tc>
          <w:tcPr>
            <w:tcW w:type="dxa" w:w="2016"/>
          </w:tcPr>
          <w:p>
            <w:r>
              <w:t>100.0</w:t>
            </w:r>
          </w:p>
        </w:tc>
      </w:tr>
      <w:tr>
        <w:tc>
          <w:tcPr>
            <w:tcW w:type="dxa" w:w="2016"/>
          </w:tcPr>
          <w:p>
            <w:r>
              <w:t>35SVPF22M</w:t>
            </w:r>
          </w:p>
        </w:tc>
        <w:tc>
          <w:tcPr>
            <w:tcW w:type="dxa" w:w="2016"/>
          </w:tcPr>
          <w:p>
            <w:r>
              <w:t>35.0</w:t>
            </w:r>
          </w:p>
        </w:tc>
        <w:tc>
          <w:tcPr>
            <w:tcW w:type="dxa" w:w="2016"/>
          </w:tcPr>
          <w:p>
            <w:r>
              <w:t>21.25</w:t>
            </w:r>
          </w:p>
        </w:tc>
        <w:tc>
          <w:tcPr>
            <w:tcW w:type="dxa" w:w="2016"/>
          </w:tcPr>
          <w:p>
            <w:r>
              <w:t>42.00</w:t>
            </w:r>
          </w:p>
        </w:tc>
        <w:tc>
          <w:tcPr>
            <w:tcW w:type="dxa" w:w="2016"/>
          </w:tcPr>
          <w:p>
            <w:r>
              <w:t>100.0</w:t>
            </w:r>
          </w:p>
        </w:tc>
      </w:tr>
      <w:tr>
        <w:tc>
          <w:tcPr>
            <w:tcW w:type="dxa" w:w="2016"/>
          </w:tcPr>
          <w:p>
            <w:r>
              <w:t>FP-025ME220M-SSR</w:t>
            </w:r>
          </w:p>
        </w:tc>
        <w:tc>
          <w:tcPr>
            <w:tcW w:type="dxa" w:w="2016"/>
          </w:tcPr>
          <w:p>
            <w:r>
              <w:t>40.0</w:t>
            </w:r>
          </w:p>
        </w:tc>
        <w:tc>
          <w:tcPr>
            <w:tcW w:type="dxa" w:w="2016"/>
          </w:tcPr>
          <w:p>
            <w:r>
              <w:t>21.85</w:t>
            </w:r>
          </w:p>
        </w:tc>
        <w:tc>
          <w:tcPr>
            <w:tcW w:type="dxa" w:w="2016"/>
          </w:tcPr>
          <w:p>
            <w:r>
              <w:t>48.00</w:t>
            </w:r>
          </w:p>
        </w:tc>
        <w:tc>
          <w:tcPr>
            <w:tcW w:type="dxa" w:w="2016"/>
          </w:tcPr>
          <w:p>
            <w:r>
              <w:t>99.2</w:t>
            </w:r>
          </w:p>
        </w:tc>
      </w:tr>
      <w:tr>
        <w:tc>
          <w:tcPr>
            <w:tcW w:type="dxa" w:w="2016"/>
          </w:tcPr>
          <w:p>
            <w:r>
              <w:t>T521V226M025ATE045</w:t>
            </w:r>
          </w:p>
        </w:tc>
        <w:tc>
          <w:tcPr>
            <w:tcW w:type="dxa" w:w="2016"/>
          </w:tcPr>
          <w:p>
            <w:r>
              <w:t>45.0</w:t>
            </w:r>
          </w:p>
        </w:tc>
        <w:tc>
          <w:tcPr>
            <w:tcW w:type="dxa" w:w="2016"/>
          </w:tcPr>
          <w:p>
            <w:r>
              <w:t>22.45</w:t>
            </w:r>
          </w:p>
        </w:tc>
        <w:tc>
          <w:tcPr>
            <w:tcW w:type="dxa" w:w="2016"/>
          </w:tcPr>
          <w:p>
            <w:r>
              <w:t>54.00</w:t>
            </w:r>
          </w:p>
        </w:tc>
        <w:tc>
          <w:tcPr>
            <w:tcW w:type="dxa" w:w="2016"/>
          </w:tcPr>
          <w:p>
            <w:r>
              <w:t>98.5</w:t>
            </w:r>
          </w:p>
        </w:tc>
      </w:tr>
      <w:tr>
        <w:tc>
          <w:tcPr>
            <w:tcW w:type="dxa" w:w="2016"/>
          </w:tcPr>
          <w:p>
            <w:r>
              <w:t>35SVPD22M</w:t>
            </w:r>
          </w:p>
        </w:tc>
        <w:tc>
          <w:tcPr>
            <w:tcW w:type="dxa" w:w="2016"/>
          </w:tcPr>
          <w:p>
            <w:r>
              <w:t>50.0</w:t>
            </w:r>
          </w:p>
        </w:tc>
        <w:tc>
          <w:tcPr>
            <w:tcW w:type="dxa" w:w="2016"/>
          </w:tcPr>
          <w:p>
            <w:r>
              <w:t>23.05</w:t>
            </w:r>
          </w:p>
        </w:tc>
        <w:tc>
          <w:tcPr>
            <w:tcW w:type="dxa" w:w="2016"/>
          </w:tcPr>
          <w:p>
            <w:r>
              <w:t>60.00</w:t>
            </w:r>
          </w:p>
        </w:tc>
        <w:tc>
          <w:tcPr>
            <w:tcW w:type="dxa" w:w="2016"/>
          </w:tcPr>
          <w:p>
            <w:r>
              <w:t>97.7</w:t>
            </w:r>
          </w:p>
        </w:tc>
      </w:tr>
      <w:tr>
        <w:tc>
          <w:tcPr>
            <w:tcW w:type="dxa" w:w="2016"/>
          </w:tcPr>
          <w:p>
            <w:r>
              <w:t>A758EK226M1EAAE050</w:t>
            </w:r>
          </w:p>
        </w:tc>
        <w:tc>
          <w:tcPr>
            <w:tcW w:type="dxa" w:w="2016"/>
          </w:tcPr>
          <w:p>
            <w:r>
              <w:t>50.0</w:t>
            </w:r>
          </w:p>
        </w:tc>
        <w:tc>
          <w:tcPr>
            <w:tcW w:type="dxa" w:w="2016"/>
          </w:tcPr>
          <w:p>
            <w:r>
              <w:t>23.05</w:t>
            </w:r>
          </w:p>
        </w:tc>
        <w:tc>
          <w:tcPr>
            <w:tcW w:type="dxa" w:w="2016"/>
          </w:tcPr>
          <w:p>
            <w:r>
              <w:t>60.00</w:t>
            </w:r>
          </w:p>
        </w:tc>
        <w:tc>
          <w:tcPr>
            <w:tcW w:type="dxa" w:w="2016"/>
          </w:tcPr>
          <w:p>
            <w:r>
              <w:t>97.7</w:t>
            </w:r>
          </w:p>
        </w:tc>
      </w:tr>
      <w:tr>
        <w:tc>
          <w:tcPr>
            <w:tcW w:type="dxa" w:w="2016"/>
          </w:tcPr>
          <w:p>
            <w:r>
              <w:t>25TQC22MD2</w:t>
            </w:r>
          </w:p>
        </w:tc>
        <w:tc>
          <w:tcPr>
            <w:tcW w:type="dxa" w:w="2016"/>
          </w:tcPr>
          <w:p>
            <w:r>
              <w:t>60.0</w:t>
            </w:r>
          </w:p>
        </w:tc>
        <w:tc>
          <w:tcPr>
            <w:tcW w:type="dxa" w:w="2016"/>
          </w:tcPr>
          <w:p>
            <w:r>
              <w:t>24.25</w:t>
            </w:r>
          </w:p>
        </w:tc>
        <w:tc>
          <w:tcPr>
            <w:tcW w:type="dxa" w:w="2016"/>
          </w:tcPr>
          <w:p>
            <w:r>
              <w:t>72.00</w:t>
            </w:r>
          </w:p>
        </w:tc>
        <w:tc>
          <w:tcPr>
            <w:tcW w:type="dxa" w:w="2016"/>
          </w:tcPr>
          <w:p>
            <w:r>
              <w:t>96.2</w:t>
            </w:r>
          </w:p>
        </w:tc>
      </w:tr>
      <w:tr>
        <w:tc>
          <w:tcPr>
            <w:tcW w:type="dxa" w:w="2016"/>
          </w:tcPr>
          <w:p>
            <w:r>
              <w:t>T521B226M025ATE100</w:t>
            </w:r>
          </w:p>
        </w:tc>
        <w:tc>
          <w:tcPr>
            <w:tcW w:type="dxa" w:w="2016"/>
          </w:tcPr>
          <w:p>
            <w:r>
              <w:t>100.0</w:t>
            </w:r>
          </w:p>
        </w:tc>
        <w:tc>
          <w:tcPr>
            <w:tcW w:type="dxa" w:w="2016"/>
          </w:tcPr>
          <w:p>
            <w:r>
              <w:t>29.05</w:t>
            </w:r>
          </w:p>
        </w:tc>
        <w:tc>
          <w:tcPr>
            <w:tcW w:type="dxa" w:w="2016"/>
          </w:tcPr>
          <w:p>
            <w:r>
              <w:t>120.00</w:t>
            </w:r>
          </w:p>
        </w:tc>
        <w:tc>
          <w:tcPr>
            <w:tcW w:type="dxa" w:w="2016"/>
          </w:tcPr>
          <w:p>
            <w:r>
              <w:t>90.2</w:t>
            </w:r>
          </w:p>
        </w:tc>
      </w:tr>
      <w:tr>
        <w:tc>
          <w:tcPr>
            <w:tcW w:type="dxa" w:w="2016"/>
          </w:tcPr>
          <w:p>
            <w:r>
              <w:t>EEE-FN1V220R</w:t>
            </w:r>
          </w:p>
        </w:tc>
        <w:tc>
          <w:tcPr>
            <w:tcW w:type="dxa" w:w="2016"/>
          </w:tcPr>
          <w:p>
            <w:r>
              <w:t>700.0</w:t>
            </w:r>
          </w:p>
        </w:tc>
        <w:tc>
          <w:tcPr>
            <w:tcW w:type="dxa" w:w="2016"/>
          </w:tcPr>
          <w:p>
            <w:r>
              <w:t>101.05</w:t>
            </w:r>
          </w:p>
        </w:tc>
        <w:tc>
          <w:tcPr>
            <w:tcW w:type="dxa" w:w="2016"/>
          </w:tcPr>
          <w:p>
            <w:r>
              <w:t>840.00</w:t>
            </w:r>
          </w:p>
        </w:tc>
        <w:tc>
          <w:tcPr>
            <w:tcW w:type="dxa" w:w="2016"/>
          </w:tcPr>
          <w:p>
            <w:r>
              <w:t>0.0</w:t>
            </w:r>
          </w:p>
        </w:tc>
      </w:tr>
    </w:tbl>
    <w:p>
      <w:pPr>
        <w:pStyle w:val="Heading1"/>
      </w:pPr>
      <w:r>
        <w:t>IX. OUTPUT RESPONSE</w:t>
      </w:r>
    </w:p>
    <w:p>
      <w:r>
        <w:drawing>
          <wp:inline xmlns:a="http://schemas.openxmlformats.org/drawingml/2006/main" xmlns:pic="http://schemas.openxmlformats.org/drawingml/2006/picture">
            <wp:extent cx="5669280" cy="1856249"/>
            <wp:docPr id="4" name="Picture 4"/>
            <wp:cNvGraphicFramePr>
              <a:graphicFrameLocks noChangeAspect="1"/>
            </wp:cNvGraphicFramePr>
            <a:graphic>
              <a:graphicData uri="http://schemas.openxmlformats.org/drawingml/2006/picture">
                <pic:pic>
                  <pic:nvPicPr>
                    <pic:cNvPr id="0" name="illustrative_output_response.png"/>
                    <pic:cNvPicPr/>
                  </pic:nvPicPr>
                  <pic:blipFill>
                    <a:blip r:embed="rId12"/>
                    <a:stretch>
                      <a:fillRect/>
                    </a:stretch>
                  </pic:blipFill>
                  <pic:spPr>
                    <a:xfrm>
                      <a:off x="0" y="0"/>
                      <a:ext cx="5669280" cy="1856249"/>
                    </a:xfrm>
                    <a:prstGeom prst="rect"/>
                  </pic:spPr>
                </pic:pic>
              </a:graphicData>
            </a:graphic>
          </wp:inline>
        </w:drawing>
      </w:r>
    </w:p>
    <w:p>
      <w:r>
        <w:t>Fig. 4. Illustrative response only; not raw Simulink data.</w:t>
      </w:r>
    </w:p>
    <w:p>
      <w:r>
        <w:t>Screenshots qualitatively showed startup overshoot near 13.06 V and settling near 12 V, with load disturbances around 2.5 ms and 5 ms. The plot is constructed for illustration only. Measure actual ripple from exported Scope data across several settled 20 µs switching periods.</w:t>
      </w:r>
    </w:p>
    <w:p>
      <w:r>
        <w:drawing>
          <wp:inline xmlns:a="http://schemas.openxmlformats.org/drawingml/2006/main" xmlns:pic="http://schemas.openxmlformats.org/drawingml/2006/picture">
            <wp:extent cx="5669280" cy="1662311"/>
            <wp:docPr id="5" name="Picture 5"/>
            <wp:cNvGraphicFramePr>
              <a:graphicFrameLocks noChangeAspect="1"/>
            </wp:cNvGraphicFramePr>
            <a:graphic>
              <a:graphicData uri="http://schemas.openxmlformats.org/drawingml/2006/picture">
                <pic:pic>
                  <pic:nvPicPr>
                    <pic:cNvPr id="0" name="illustrative_ripple.png"/>
                    <pic:cNvPicPr/>
                  </pic:nvPicPr>
                  <pic:blipFill>
                    <a:blip r:embed="rId13"/>
                    <a:stretch>
                      <a:fillRect/>
                    </a:stretch>
                  </pic:blipFill>
                  <pic:spPr>
                    <a:xfrm>
                      <a:off x="0" y="0"/>
                      <a:ext cx="5669280" cy="1662311"/>
                    </a:xfrm>
                    <a:prstGeom prst="rect"/>
                  </pic:spPr>
                </pic:pic>
              </a:graphicData>
            </a:graphic>
          </wp:inline>
        </w:drawing>
      </w:r>
    </w:p>
    <w:p>
      <w:r>
        <w:t>Fig. 5. Illustrative switching ripple schematic, not measured.</w:t>
      </w:r>
    </w:p>
    <w:p>
      <w:pPr>
        <w:pStyle w:val="Heading1"/>
      </w:pPr>
      <w:r>
        <w:t>X. SIMULINK VALIDATION</w:t>
      </w:r>
    </w:p>
    <w:p>
      <w:r>
        <w:t>Keep source, controller, solver, initial conditions, load profile and measurement window identical. Change only capacitor parameters. Record steady-state ripple, mean output, startup overshoot, load-step undershoot/overshoot, settling time and capacitor RMS current. Unknown ESR must not be replaced by zero.</w:t>
      </w:r>
    </w:p>
    <w:p>
      <w:pPr>
        <w:pStyle w:val="Heading1"/>
      </w:pPr>
      <w:r>
        <w:t>XI. LIMITATIONS</w:t>
      </w:r>
    </w:p>
    <w:p>
      <w:r>
        <w:t>ESR depends on frequency and temperature; ripple ratings may use different conditions; the ripple equation is first-order; life models differ by technology; prices and thermal data are missing for most parts. Verify package, polarity, derating, surge/inrush requirements and latest datasheets.</w:t>
      </w:r>
    </w:p>
    <w:p>
      <w:pPr>
        <w:pStyle w:val="Heading1"/>
      </w:pPr>
      <w:r>
        <w:t>XII. RESEARCH ROADMAP</w:t>
      </w:r>
    </w:p>
    <w:p>
      <w:r>
        <w:t>Verify every data record and provenance; add frequency-dependent impedance and thermal models; perform sensitivity/Monte Carlo analysis; automate Simulink sweeps; validate on hardware; extend to buck–boost, DC-link, filters, motor drives and IC decoupling.</w:t>
      </w:r>
    </w:p>
    <w:p>
      <w:pPr>
        <w:pStyle w:val="Heading1"/>
      </w:pPr>
      <w:r>
        <w:t>XIII. CONCLUSION</w:t>
      </w:r>
    </w:p>
    <w:p>
      <w:r>
        <w:t>The prototype combines transparent calculations, a ten-part shortlist, provisional ranking and strict qualification gates. It does not yet establish a final winner. Datasheet verification and repeatable simulation measurements are the next steps.</w:t>
      </w:r>
    </w:p>
    <w:p>
      <w:pPr>
        <w:pStyle w:val="Heading1"/>
      </w:pPr>
      <w:r>
        <w:t>XIV. REPOSITORY AND REPRODUCIBILITY</w:t>
      </w:r>
    </w:p>
    <w:p>
      <w:r>
        <w:t>No GitHub repository has been created from this chat. The included source package is ready to upload. Suggested repository name: capacitor-selection-optimization-system. Replace https://github.com/&lt;your-username&gt;/capacitor-selection-optimization-system with the actual URL after creating it; this is a placeholder, not an active repository.</w:t>
      </w:r>
    </w:p>
    <w:p>
      <w:pPr>
        <w:pStyle w:val="Heading1"/>
      </w:pPr>
      <w:r>
        <w:t>REFERENCES</w:t>
      </w:r>
    </w:p>
    <w:p>
      <w:r>
        <w:t>[1] Panasonic Industry, 35SVPF22M product specifications: https://industrial.panasonic.com/ww/products/pt/os-con/models/35SVPF22M</w:t>
      </w:r>
    </w:p>
    <w:p>
      <w:r>
        <w:t>[2] Panasonic Industry, EEEHB1V220AP product specifications: https://industrial.panasonic.com/ww/products/pt/aluminum-cap-smd/models/EEEHB1V220AP</w:t>
      </w:r>
    </w:p>
    <w:p>
      <w:r>
        <w:t>[3] KEMET T521V226M025ATE045, DigiKey product/datasheet information: https://www.digikey.in/en/products/detail/kemet/T521V226M025ATE045/5131700</w:t>
      </w:r>
    </w:p>
    <w:p>
      <w:r>
        <w:t>[4] IEEE Author Center templates: https://template-selector.ieee.org/</w:t>
      </w:r>
    </w:p>
    <w:p>
      <w:r>
        <w:t>[5] MathWorks MATLAB tables: https://www.mathworks.com/help/matlab/tables.html</w:t>
      </w:r>
    </w:p>
    <w:p>
      <w:r>
        <w:t>[6] MathWorks Simulink: https://www.mathworks.com/help/simulink/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