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PRIVATE PARKING APPEAL AUTOMATION</w:t>
      </w:r>
    </w:p>
    <w:p>
      <w:pPr>
        <w:jc w:val="center"/>
      </w:pPr>
      <w:r>
        <w:rPr>
          <w:b/>
          <w:sz w:val="26"/>
        </w:rPr>
        <w:t>MASTER DEVELOPER PACK - VERSION 2 (AI-GENERATED APPEALS)</w:t>
      </w:r>
    </w:p>
    <w:p>
      <w:r>
        <w:t>Replacement handover: AI document analysis + short adaptive questioning + controlled legal knowledge retrieval + bespoke drafting + deterministic safety/legal validation + final PDF/document.</w:t>
      </w:r>
    </w:p>
    <w:p>
      <w:r>
        <w:t>Scope: Initial private parking appeals only. Debt recovery, Letter of Claim and County Court workflows remain separate projects.</w:t>
      </w:r>
    </w:p>
    <w:p>
      <w:r>
        <w:rPr>
          <w:b/>
        </w:rPr>
        <w:t xml:space="preserve">NON-NEGOTIABLE KEEPER RULE: </w:t>
      </w:r>
      <w:r>
        <w:t>The system must never identify, infer or imply the driver unless the driver has already been formally identified to the operator. Customer first-person answers must be transformed into neutral keeper-safe wording.</w:t>
      </w:r>
    </w:p>
    <w:p>
      <w:pPr>
        <w:pStyle w:val="Heading1"/>
      </w:pPr>
      <w:r>
        <w:t>PART 1 - What the Developer Is Building</w:t>
      </w:r>
    </w:p>
    <w:p>
      <w:r>
        <w:t>Build an AI-assisted initial private parking PCN appeal generator. The system must read the uploaded PCN and evidence, extract and verify case facts, ask only the minimum relevant follow-up questions, identify the strongest supported factual/legal routes, retrieve approved material from the knowledge library, and generate one bespoke coherent appeal. The AI is the drafting and issue-identification layer; it is not permitted to invent facts, evidence, law, dates, admissions or driver identity.</w:t>
      </w:r>
    </w:p>
    <w:p>
      <w:r>
        <w:t>New core model:</w:t>
      </w:r>
    </w:p>
    <w:p>
      <w:r>
        <w:rPr>
          <w:b/>
        </w:rPr>
        <w:t>UPLOAD -&gt; AI EXTRACTION -&gt; CUSTOMER CONFIRMATION -&gt; ADAPTIVE QUESTIONS -&gt; AI ISSUE ANALYSIS -&gt; APPROVED KNOWLEDGE RETRIEVAL -&gt; BESPOKE DRAFT -&gt; VALIDATION -&gt; FINAL APPEAL</w:t>
      </w:r>
    </w:p>
    <w:p>
      <w:pPr>
        <w:pStyle w:val="Heading1"/>
      </w:pPr>
      <w:r>
        <w:t>PART 2 - End-to-End Workflow</w:t>
      </w:r>
    </w:p>
    <w:p>
      <w:r>
        <w:t>1. Customer selects Private Parking Appeal.</w:t>
      </w:r>
    </w:p>
    <w:p>
      <w:r>
        <w:t>2. Customer uploads all pages of the PCN / Notice to Keeper and any available evidence.</w:t>
      </w:r>
    </w:p>
    <w:p>
      <w:r>
        <w:t>3. AI/document extraction classifies the notice and extracts core data.</w:t>
      </w:r>
    </w:p>
    <w:p>
      <w:r>
        <w:t>4. Customer sees a simple confirmation screen and corrects any extraction error.</w:t>
      </w:r>
    </w:p>
    <w:p>
      <w:r>
        <w:t>5. AI determines what material facts are still missing.</w:t>
      </w:r>
    </w:p>
    <w:p>
      <w:r>
        <w:t>6. System asks only relevant adaptive questions. Target journey: normally 3-6 factual questions after confirmation, not a long fixed questionnaire.</w:t>
      </w:r>
    </w:p>
    <w:p>
      <w:r>
        <w:t>7. AI analyses the allegation, notice, dates, evidence and customer answers.</w:t>
      </w:r>
    </w:p>
    <w:p>
      <w:r>
        <w:t>8. AI identifies primary and secondary appeal routes and retrieves only approved knowledge modules relevant to those routes.</w:t>
      </w:r>
    </w:p>
    <w:p>
      <w:r>
        <w:t>9. AI drafts a single bespoke keeper-safe appeal. It may rewrite and combine approved material, but may not invent a new legal proposition.</w:t>
      </w:r>
    </w:p>
    <w:p>
      <w:r>
        <w:t>10. A separate validation pass checks driver safety, factual accuracy, evidence references, PoFA applicability, Code applicability, contradictions and unsupported claims.</w:t>
      </w:r>
    </w:p>
    <w:p>
      <w:r>
        <w:t>11. If validation fails, regenerate/correct or route to configured manual review rather than releasing an unsafe appeal.</w:t>
      </w:r>
    </w:p>
    <w:p>
      <w:r>
        <w:t>12. Generate final PDF/document plus evidence list and submission guidance; save structured case data and generated output to CRM.</w:t>
      </w:r>
    </w:p>
    <w:p>
      <w:pPr>
        <w:pStyle w:val="Heading1"/>
      </w:pPr>
      <w:r>
        <w:t>PART 3 - Core Data to Extract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7E6E6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5256"/>
            <w:shd w:fill="E7E6E6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256"/>
            <w:vAlign w:val="top"/>
          </w:tcPr>
          <w:p>
            <w:r>
              <w:t>operator_name</w:t>
            </w:r>
          </w:p>
        </w:tc>
        <w:tc>
          <w:tcPr>
            <w:tcW w:type="dxa" w:w="5256"/>
            <w:vAlign w:val="top"/>
          </w:tcPr>
          <w:p>
            <w:r>
              <w:t>Private parking operator</w:t>
            </w:r>
          </w:p>
        </w:tc>
      </w:tr>
      <w:tr>
        <w:tc>
          <w:tcPr>
            <w:tcW w:type="dxa" w:w="5256"/>
            <w:vAlign w:val="top"/>
          </w:tcPr>
          <w:p>
            <w:r>
              <w:t>pcn_number</w:t>
            </w:r>
          </w:p>
        </w:tc>
        <w:tc>
          <w:tcPr>
            <w:tcW w:type="dxa" w:w="5256"/>
            <w:vAlign w:val="top"/>
          </w:tcPr>
          <w:p>
            <w:r>
              <w:t>Parking Charge Notice reference</w:t>
            </w:r>
          </w:p>
        </w:tc>
      </w:tr>
      <w:tr>
        <w:tc>
          <w:tcPr>
            <w:tcW w:type="dxa" w:w="5256"/>
            <w:vAlign w:val="top"/>
          </w:tcPr>
          <w:p>
            <w:r>
              <w:t>vrm</w:t>
            </w:r>
          </w:p>
        </w:tc>
        <w:tc>
          <w:tcPr>
            <w:tcW w:type="dxa" w:w="5256"/>
            <w:vAlign w:val="top"/>
          </w:tcPr>
          <w:p>
            <w:r>
              <w:t>Vehicle registration</w:t>
            </w:r>
          </w:p>
        </w:tc>
      </w:tr>
      <w:tr>
        <w:tc>
          <w:tcPr>
            <w:tcW w:type="dxa" w:w="5256"/>
            <w:vAlign w:val="top"/>
          </w:tcPr>
          <w:p>
            <w:r>
              <w:t>parking_location</w:t>
            </w:r>
          </w:p>
        </w:tc>
        <w:tc>
          <w:tcPr>
            <w:tcW w:type="dxa" w:w="5256"/>
            <w:vAlign w:val="top"/>
          </w:tcPr>
          <w:p>
            <w:r>
              <w:t>Site/location</w:t>
            </w:r>
          </w:p>
        </w:tc>
      </w:tr>
      <w:tr>
        <w:tc>
          <w:tcPr>
            <w:tcW w:type="dxa" w:w="5256"/>
            <w:vAlign w:val="top"/>
          </w:tcPr>
          <w:p>
            <w:r>
              <w:t>parking_event_date</w:t>
            </w:r>
          </w:p>
        </w:tc>
        <w:tc>
          <w:tcPr>
            <w:tcW w:type="dxa" w:w="5256"/>
            <w:vAlign w:val="top"/>
          </w:tcPr>
          <w:p>
            <w:r>
              <w:t>Date of alleged parking event</w:t>
            </w:r>
          </w:p>
        </w:tc>
      </w:tr>
      <w:tr>
        <w:tc>
          <w:tcPr>
            <w:tcW w:type="dxa" w:w="5256"/>
            <w:vAlign w:val="top"/>
          </w:tcPr>
          <w:p>
            <w:r>
              <w:t>notice_issue_date</w:t>
            </w:r>
          </w:p>
        </w:tc>
        <w:tc>
          <w:tcPr>
            <w:tcW w:type="dxa" w:w="5256"/>
            <w:vAlign w:val="top"/>
          </w:tcPr>
          <w:p>
            <w:r>
              <w:t>Date notice was issued</w:t>
            </w:r>
          </w:p>
        </w:tc>
      </w:tr>
      <w:tr>
        <w:tc>
          <w:tcPr>
            <w:tcW w:type="dxa" w:w="5256"/>
            <w:vAlign w:val="top"/>
          </w:tcPr>
          <w:p>
            <w:r>
              <w:t>notice_received_date</w:t>
            </w:r>
          </w:p>
        </w:tc>
        <w:tc>
          <w:tcPr>
            <w:tcW w:type="dxa" w:w="5256"/>
            <w:vAlign w:val="top"/>
          </w:tcPr>
          <w:p>
            <w:r>
              <w:t>Date received, where known</w:t>
            </w:r>
          </w:p>
        </w:tc>
      </w:tr>
      <w:tr>
        <w:tc>
          <w:tcPr>
            <w:tcW w:type="dxa" w:w="5256"/>
            <w:vAlign w:val="top"/>
          </w:tcPr>
          <w:p>
            <w:r>
              <w:t>notice_route</w:t>
            </w:r>
          </w:p>
        </w:tc>
        <w:tc>
          <w:tcPr>
            <w:tcW w:type="dxa" w:w="5256"/>
            <w:vAlign w:val="top"/>
          </w:tcPr>
          <w:p>
            <w:r>
              <w:t>POSTAL / WINDSCREEN / UNKNOWN</w:t>
            </w:r>
          </w:p>
        </w:tc>
      </w:tr>
      <w:tr>
        <w:tc>
          <w:tcPr>
            <w:tcW w:type="dxa" w:w="5256"/>
            <w:vAlign w:val="top"/>
          </w:tcPr>
          <w:p>
            <w:r>
              <w:t>entry_time / exit_time</w:t>
            </w:r>
          </w:p>
        </w:tc>
        <w:tc>
          <w:tcPr>
            <w:tcW w:type="dxa" w:w="5256"/>
            <w:vAlign w:val="top"/>
          </w:tcPr>
          <w:p>
            <w:r>
              <w:t>ANPR times, where present</w:t>
            </w:r>
          </w:p>
        </w:tc>
      </w:tr>
      <w:tr>
        <w:tc>
          <w:tcPr>
            <w:tcW w:type="dxa" w:w="5256"/>
            <w:vAlign w:val="top"/>
          </w:tcPr>
          <w:p>
            <w:r>
              <w:t>total_recorded_duration</w:t>
            </w:r>
          </w:p>
        </w:tc>
        <w:tc>
          <w:tcPr>
            <w:tcW w:type="dxa" w:w="5256"/>
            <w:vAlign w:val="top"/>
          </w:tcPr>
          <w:p>
            <w:r>
              <w:t>Calculated site duration</w:t>
            </w:r>
          </w:p>
        </w:tc>
      </w:tr>
      <w:tr>
        <w:tc>
          <w:tcPr>
            <w:tcW w:type="dxa" w:w="5256"/>
            <w:vAlign w:val="top"/>
          </w:tcPr>
          <w:p>
            <w:r>
              <w:t>charge_amount</w:t>
            </w:r>
          </w:p>
        </w:tc>
        <w:tc>
          <w:tcPr>
            <w:tcW w:type="dxa" w:w="5256"/>
            <w:vAlign w:val="top"/>
          </w:tcPr>
          <w:p>
            <w:r>
              <w:t>PCN amount</w:t>
            </w:r>
          </w:p>
        </w:tc>
      </w:tr>
      <w:tr>
        <w:tc>
          <w:tcPr>
            <w:tcW w:type="dxa" w:w="5256"/>
            <w:vAlign w:val="top"/>
          </w:tcPr>
          <w:p>
            <w:r>
              <w:t>alleged_breach</w:t>
            </w:r>
          </w:p>
        </w:tc>
        <w:tc>
          <w:tcPr>
            <w:tcW w:type="dxa" w:w="5256"/>
            <w:vAlign w:val="top"/>
          </w:tcPr>
          <w:p>
            <w:r>
              <w:t>Operator's stated allegation</w:t>
            </w:r>
          </w:p>
        </w:tc>
      </w:tr>
      <w:tr>
        <w:tc>
          <w:tcPr>
            <w:tcW w:type="dxa" w:w="5256"/>
            <w:vAlign w:val="top"/>
          </w:tcPr>
          <w:p>
            <w:r>
              <w:t>operator_ata</w:t>
            </w:r>
          </w:p>
        </w:tc>
        <w:tc>
          <w:tcPr>
            <w:tcW w:type="dxa" w:w="5256"/>
            <w:vAlign w:val="top"/>
          </w:tcPr>
          <w:p>
            <w:r>
              <w:t>BPA / IPC / unknown, if determinable</w:t>
            </w:r>
          </w:p>
        </w:tc>
      </w:tr>
      <w:tr>
        <w:tc>
          <w:tcPr>
            <w:tcW w:type="dxa" w:w="5256"/>
            <w:vAlign w:val="top"/>
          </w:tcPr>
          <w:p>
            <w:r>
              <w:t>case_stage</w:t>
            </w:r>
          </w:p>
        </w:tc>
        <w:tc>
          <w:tcPr>
            <w:tcW w:type="dxa" w:w="5256"/>
            <w:vAlign w:val="top"/>
          </w:tcPr>
          <w:p>
            <w:r>
              <w:t>INITIAL_OPERATOR_APPEAL</w:t>
            </w:r>
          </w:p>
        </w:tc>
      </w:tr>
      <w:tr>
        <w:tc>
          <w:tcPr>
            <w:tcW w:type="dxa" w:w="5256"/>
            <w:vAlign w:val="top"/>
          </w:tcPr>
          <w:p>
            <w:r>
              <w:t>evidence_inventory</w:t>
            </w:r>
          </w:p>
        </w:tc>
        <w:tc>
          <w:tcPr>
            <w:tcW w:type="dxa" w:w="5256"/>
            <w:vAlign w:val="top"/>
          </w:tcPr>
          <w:p>
            <w:r>
              <w:t>Uploaded evidence types and dates</w:t>
            </w:r>
          </w:p>
        </w:tc>
      </w:tr>
    </w:tbl>
    <w:p/>
    <w:p>
      <w:pPr>
        <w:pStyle w:val="Heading1"/>
      </w:pPr>
      <w:r>
        <w:t>PART 4 - Adaptive Customer Questioning</w:t>
      </w:r>
    </w:p>
    <w:p>
      <w:r>
        <w:t>Do not reproduce the old branch questionnaire as a long form. The AI should infer what it can from the notice first, then ask only questions needed to establish or rule out relevant grounds.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7E6E6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5256"/>
            <w:shd w:fill="E7E6E6"/>
          </w:tcPr>
          <w:p>
            <w:r>
              <w:rPr>
                <w:b/>
              </w:rPr>
              <w:t>Examples of facts the AI may need to ask</w:t>
            </w:r>
          </w:p>
        </w:tc>
      </w:tr>
      <w:tr>
        <w:tc>
          <w:tcPr>
            <w:tcW w:type="dxa" w:w="5256"/>
            <w:vAlign w:val="top"/>
          </w:tcPr>
          <w:p>
            <w:r>
              <w:t>Payment / keying</w:t>
            </w:r>
          </w:p>
        </w:tc>
        <w:tc>
          <w:tcPr>
            <w:tcW w:type="dxa" w:w="5256"/>
            <w:vAlign w:val="top"/>
          </w:tcPr>
          <w:p>
            <w:r>
              <w:t>Was payment made or attempted? Method? Evidence? Machine/app issue? Registration error?</w:t>
            </w:r>
          </w:p>
        </w:tc>
      </w:tr>
      <w:tr>
        <w:tc>
          <w:tcPr>
            <w:tcW w:type="dxa" w:w="5256"/>
            <w:vAlign w:val="top"/>
          </w:tcPr>
          <w:p>
            <w:r>
              <w:t>ANPR / duration</w:t>
            </w:r>
          </w:p>
        </w:tc>
        <w:tc>
          <w:tcPr>
            <w:tcW w:type="dxa" w:w="5256"/>
            <w:vAlign w:val="top"/>
          </w:tcPr>
          <w:p>
            <w:r>
              <w:t>Was the vehicle continuously present? More than one visit? Evidence it left? Any image/time discrepancy?</w:t>
            </w:r>
          </w:p>
        </w:tc>
      </w:tr>
      <w:tr>
        <w:tc>
          <w:tcPr>
            <w:tcW w:type="dxa" w:w="5256"/>
            <w:vAlign w:val="top"/>
          </w:tcPr>
          <w:p>
            <w:r>
              <w:t>Consideration / grace</w:t>
            </w:r>
          </w:p>
        </w:tc>
        <w:tc>
          <w:tcPr>
            <w:tcW w:type="dxa" w:w="5256"/>
            <w:vAlign w:val="top"/>
          </w:tcPr>
          <w:p>
            <w:r>
              <w:t>What happened before parking was accepted? Was time needed to find a bay/read terms/pay? What caused exit delay?</w:t>
            </w:r>
          </w:p>
        </w:tc>
      </w:tr>
      <w:tr>
        <w:tc>
          <w:tcPr>
            <w:tcW w:type="dxa" w:w="5256"/>
            <w:vAlign w:val="top"/>
          </w:tcPr>
          <w:p>
            <w:r>
              <w:t>Permit / authorisation</w:t>
            </w:r>
          </w:p>
        </w:tc>
        <w:tc>
          <w:tcPr>
            <w:tcW w:type="dxa" w:w="5256"/>
            <w:vAlign w:val="top"/>
          </w:tcPr>
          <w:p>
            <w:r>
              <w:t>Was permission held? Source? Digital/physical/visitor? Any admin/display issue? Evidence?</w:t>
            </w:r>
          </w:p>
        </w:tc>
      </w:tr>
      <w:tr>
        <w:tc>
          <w:tcPr>
            <w:tcW w:type="dxa" w:w="5256"/>
            <w:vAlign w:val="top"/>
          </w:tcPr>
          <w:p>
            <w:r>
              <w:t>Breakdown / immobilisation</w:t>
            </w:r>
          </w:p>
        </w:tc>
        <w:tc>
          <w:tcPr>
            <w:tcW w:type="dxa" w:w="5256"/>
            <w:vAlign w:val="top"/>
          </w:tcPr>
          <w:p>
            <w:r>
              <w:t>Did the vehicle become mechanically immobilised? When? Could it safely/lawfully be moved? Recovery/garage evidence? How long did the incident prevent departure/compliance?</w:t>
            </w:r>
          </w:p>
        </w:tc>
      </w:tr>
      <w:tr>
        <w:tc>
          <w:tcPr>
            <w:tcW w:type="dxa" w:w="5256"/>
            <w:vAlign w:val="top"/>
          </w:tcPr>
          <w:p>
            <w:r>
              <w:t>Residential rights</w:t>
            </w:r>
          </w:p>
        </w:tc>
        <w:tc>
          <w:tcPr>
            <w:tcW w:type="dxa" w:w="5256"/>
            <w:vAlign w:val="top"/>
          </w:tcPr>
          <w:p>
            <w:r>
              <w:t>Resident/tenant/leaseholder/visitor? Allocated or communal space? What does lease/tenancy say about parking? Does it require a permit or payment to a third-party operator? Evidence of the underlying right?</w:t>
            </w:r>
          </w:p>
        </w:tc>
      </w:tr>
      <w:tr>
        <w:tc>
          <w:tcPr>
            <w:tcW w:type="dxa" w:w="5256"/>
            <w:vAlign w:val="top"/>
          </w:tcPr>
          <w:p>
            <w:r>
              <w:t>Signage</w:t>
            </w:r>
          </w:p>
        </w:tc>
        <w:tc>
          <w:tcPr>
            <w:tcW w:type="dxa" w:w="5256"/>
            <w:vAlign w:val="top"/>
          </w:tcPr>
          <w:p>
            <w:r>
              <w:t>Only ask where notice/evidence or customer account raises a real signage issue.</w:t>
            </w:r>
          </w:p>
        </w:tc>
      </w:tr>
      <w:tr>
        <w:tc>
          <w:tcPr>
            <w:tcW w:type="dxa" w:w="5256"/>
            <w:vAlign w:val="top"/>
          </w:tcPr>
          <w:p>
            <w:r>
              <w:t>Accessibility / Equality</w:t>
            </w:r>
          </w:p>
        </w:tc>
        <w:tc>
          <w:tcPr>
            <w:tcW w:type="dxa" w:w="5256"/>
            <w:vAlign w:val="top"/>
          </w:tcPr>
          <w:p>
            <w:r>
              <w:t>Only ask when facts indicate additional time or reasonable-adjustment issues may be relevant.</w:t>
            </w:r>
          </w:p>
        </w:tc>
      </w:tr>
    </w:tbl>
    <w:p/>
    <w:p>
      <w:r>
        <w:t>The system must never ask 'Who was driving?' or invite a driver admission.</w:t>
      </w:r>
    </w:p>
    <w:p>
      <w:pPr>
        <w:pStyle w:val="Heading1"/>
      </w:pPr>
      <w:r>
        <w:t>PART 5 - AI Issue-Spotting Hierarchy</w:t>
      </w:r>
    </w:p>
    <w:p>
      <w:r>
        <w:t>The AI should identify the legal/factual character of the case before drafting. Strong primary grounds should not be diluted by generic secondary arguments.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7E6E6"/>
          </w:tcPr>
          <w:p>
            <w:r>
              <w:rPr>
                <w:b/>
              </w:rPr>
              <w:t>Circumstance</w:t>
            </w:r>
          </w:p>
        </w:tc>
        <w:tc>
          <w:tcPr>
            <w:tcW w:type="dxa" w:w="5256"/>
            <w:shd w:fill="E7E6E6"/>
          </w:tcPr>
          <w:p>
            <w:r>
              <w:rPr>
                <w:b/>
              </w:rPr>
              <w:t>Primary analysis</w:t>
            </w:r>
          </w:p>
        </w:tc>
      </w:tr>
      <w:tr>
        <w:tc>
          <w:tcPr>
            <w:tcW w:type="dxa" w:w="5256"/>
            <w:vAlign w:val="top"/>
          </w:tcPr>
          <w:p>
            <w:r>
              <w:t>Keeper + driver not identified</w:t>
            </w:r>
          </w:p>
        </w:tc>
        <w:tc>
          <w:tcPr>
            <w:tcW w:type="dxa" w:w="5256"/>
            <w:vAlign w:val="top"/>
          </w:tcPr>
          <w:p>
            <w:r>
              <w:t>Assess Schedule 4 PoFA compliance first; use only defects actually established.</w:t>
            </w:r>
          </w:p>
        </w:tc>
      </w:tr>
      <w:tr>
        <w:tc>
          <w:tcPr>
            <w:tcW w:type="dxa" w:w="5256"/>
            <w:vAlign w:val="top"/>
          </w:tcPr>
          <w:p>
            <w:r>
              <w:t>Mechanical breakdown / involuntary immobilisation</w:t>
            </w:r>
          </w:p>
        </w:tc>
        <w:tc>
          <w:tcPr>
            <w:tcW w:type="dxa" w:w="5256"/>
            <w:vAlign w:val="top"/>
          </w:tcPr>
          <w:p>
            <w:r>
              <w:t>Consider frustration/impossibility and whether the alleged contractual breach can properly arise from an event beyond control. Do not reduce this automatically to mitigation.</w:t>
            </w:r>
          </w:p>
        </w:tc>
      </w:tr>
      <w:tr>
        <w:tc>
          <w:tcPr>
            <w:tcW w:type="dxa" w:w="5256"/>
            <w:vAlign w:val="top"/>
          </w:tcPr>
          <w:p>
            <w:r>
              <w:t>Resident with pre-existing parking rights</w:t>
            </w:r>
          </w:p>
        </w:tc>
        <w:tc>
          <w:tcPr>
            <w:tcW w:type="dxa" w:w="5256"/>
            <w:vAlign w:val="top"/>
          </w:tcPr>
          <w:p>
            <w:r>
              <w:t>Examine lease/tenancy/parking grant first: primacy of contract, scope of parking right, allocated bay, restrictions, permit obligations, derogation from grant/quiet enjoyment where genuinely supported. Do not assume operator signage overrides the resident's underlying rights.</w:t>
            </w:r>
          </w:p>
        </w:tc>
      </w:tr>
      <w:tr>
        <w:tc>
          <w:tcPr>
            <w:tcW w:type="dxa" w:w="5256"/>
            <w:vAlign w:val="top"/>
          </w:tcPr>
          <w:p>
            <w:r>
              <w:t>Payment made</w:t>
            </w:r>
          </w:p>
        </w:tc>
        <w:tc>
          <w:tcPr>
            <w:tcW w:type="dxa" w:w="5256"/>
            <w:vAlign w:val="top"/>
          </w:tcPr>
          <w:p>
            <w:r>
              <w:t>Lead with payment/compliance and transaction evidence.</w:t>
            </w:r>
          </w:p>
        </w:tc>
      </w:tr>
      <w:tr>
        <w:tc>
          <w:tcPr>
            <w:tcW w:type="dxa" w:w="5256"/>
            <w:vAlign w:val="top"/>
          </w:tcPr>
          <w:p>
            <w:r>
              <w:t>Short presence before acceptance</w:t>
            </w:r>
          </w:p>
        </w:tc>
        <w:tc>
          <w:tcPr>
            <w:tcW w:type="dxa" w:w="5256"/>
            <w:vAlign w:val="top"/>
          </w:tcPr>
          <w:p>
            <w:r>
              <w:t>Consideration period / contract formation.</w:t>
            </w:r>
          </w:p>
        </w:tc>
      </w:tr>
      <w:tr>
        <w:tc>
          <w:tcPr>
            <w:tcW w:type="dxa" w:w="5256"/>
            <w:vAlign w:val="top"/>
          </w:tcPr>
          <w:p>
            <w:r>
              <w:t>Permitted parking followed by short exit delay</w:t>
            </w:r>
          </w:p>
        </w:tc>
        <w:tc>
          <w:tcPr>
            <w:tcW w:type="dxa" w:w="5256"/>
            <w:vAlign w:val="top"/>
          </w:tcPr>
          <w:p>
            <w:r>
              <w:t>Grace period / actual parking period / exit circumstances.</w:t>
            </w:r>
          </w:p>
        </w:tc>
      </w:tr>
      <w:tr>
        <w:tc>
          <w:tcPr>
            <w:tcW w:type="dxa" w:w="5256"/>
            <w:vAlign w:val="top"/>
          </w:tcPr>
          <w:p>
            <w:r>
              <w:t>Multiple visits / disputed duration</w:t>
            </w:r>
          </w:p>
        </w:tc>
        <w:tc>
          <w:tcPr>
            <w:tcW w:type="dxa" w:w="5256"/>
            <w:vAlign w:val="top"/>
          </w:tcPr>
          <w:p>
            <w:r>
              <w:t>ANPR sequence and actual parking duration.</w:t>
            </w:r>
          </w:p>
        </w:tc>
      </w:tr>
      <w:tr>
        <w:tc>
          <w:tcPr>
            <w:tcW w:type="dxa" w:w="5256"/>
            <w:vAlign w:val="top"/>
          </w:tcPr>
          <w:p>
            <w:r>
              <w:t>Authorised visitor/customer/permit holder</w:t>
            </w:r>
          </w:p>
        </w:tc>
        <w:tc>
          <w:tcPr>
            <w:tcW w:type="dxa" w:w="5256"/>
            <w:vAlign w:val="top"/>
          </w:tcPr>
          <w:p>
            <w:r>
              <w:t>Underlying authorisation and evidence.</w:t>
            </w:r>
          </w:p>
        </w:tc>
      </w:tr>
      <w:tr>
        <w:tc>
          <w:tcPr>
            <w:tcW w:type="dxa" w:w="5256"/>
            <w:vAlign w:val="top"/>
          </w:tcPr>
          <w:p>
            <w:r>
              <w:t>Accessibility circumstances</w:t>
            </w:r>
          </w:p>
        </w:tc>
        <w:tc>
          <w:tcPr>
            <w:tcW w:type="dxa" w:w="5256"/>
            <w:vAlign w:val="top"/>
          </w:tcPr>
          <w:p>
            <w:r>
              <w:t>Applicable Code obligations and Equality Act issues only where facts support them.</w:t>
            </w:r>
          </w:p>
        </w:tc>
      </w:tr>
    </w:tbl>
    <w:p/>
    <w:p>
      <w:pPr>
        <w:pStyle w:val="Heading1"/>
      </w:pPr>
      <w:r>
        <w:t>PART 6 - Breakdown / Frustration Knowledge Route</w:t>
      </w:r>
    </w:p>
    <w:p>
      <w:r>
        <w:t>Add a dedicated BREAKDOWN_ROUTE to the knowledge base. It is a legal analysis route, not an automatic cancellation flag.</w:t>
      </w:r>
    </w:p>
    <w:p>
      <w:pPr>
        <w:pStyle w:val="ListBullet"/>
      </w:pPr>
      <w:r>
        <w:t>Trigger indicators: mechanical failure, flat battery, puncture or other genuine immobilisation; recovery attendance; emergency repair; contemporaneous evidence; vehicle could not reasonably be moved or compliance/departure was prevented.</w:t>
      </w:r>
    </w:p>
    <w:p>
      <w:pPr>
        <w:pStyle w:val="ListBullet"/>
      </w:pPr>
      <w:r>
        <w:t>AI must distinguish a genuine supervening event from ordinary delay, convenience or a pre-existing issue that did not actually prevent compliance.</w:t>
      </w:r>
    </w:p>
    <w:p>
      <w:pPr>
        <w:pStyle w:val="ListBullet"/>
      </w:pPr>
      <w:r>
        <w:t>Drafting objective: explain that the alleged breach arose, if at all, because an unforeseen event beyond control prevented performance/departure, and require the operator to address the effect of that event rather than treating the case as a voluntary overstay.</w:t>
      </w:r>
    </w:p>
    <w:p>
      <w:pPr>
        <w:pStyle w:val="ListBullet"/>
      </w:pPr>
      <w:r>
        <w:t>Evidence: recovery report, AA/RAC attendance, garage invoice, photographs, call logs/messages, breakdown-assistance records or other contemporaneous material.</w:t>
      </w:r>
    </w:p>
    <w:p>
      <w:pPr>
        <w:pStyle w:val="ListBullet"/>
      </w:pPr>
      <w:r>
        <w:t>Do not state that every breakdown automatically frustrates a contract. The conclusion must follow the facts.</w:t>
      </w:r>
    </w:p>
    <w:p>
      <w:pPr>
        <w:pStyle w:val="Heading1"/>
      </w:pPr>
      <w:r>
        <w:t>PART 7 - Residential Primacy / Pre-Existing Rights Route</w:t>
      </w:r>
    </w:p>
    <w:p>
      <w:r>
        <w:t>Add a dedicated RESIDENTIAL_RIGHTS_ROUTE. The AI must analyse the source of the occupier's parking rights before relying on a generic permit argument.</w:t>
      </w:r>
    </w:p>
    <w:p>
      <w:pPr>
        <w:pStyle w:val="ListBullet"/>
      </w:pPr>
      <w:r>
        <w:t>Extract/read relevant lease, tenancy agreement, parking-space grant, resident handbook or managing-agent correspondence where uploaded.</w:t>
      </w:r>
    </w:p>
    <w:p>
      <w:pPr>
        <w:pStyle w:val="ListBullet"/>
      </w:pPr>
      <w:r>
        <w:t>Identify whether there is an express right to park, allocated bay, communal parking right, visitor right, permit condition, power to make regulations, variation clause or restriction.</w:t>
      </w:r>
    </w:p>
    <w:p>
      <w:pPr>
        <w:pStyle w:val="ListBullet"/>
      </w:pPr>
      <w:r>
        <w:t>Where supported, consider primacy of contract/pre-existing rights: later parking-company signage does not automatically vary or extinguish rights already granted by the landowner/lessor.</w:t>
      </w:r>
    </w:p>
    <w:p>
      <w:pPr>
        <w:pStyle w:val="ListBullet"/>
      </w:pPr>
      <w:r>
        <w:t>Where supported by the actual instrument and facts, consider unfettered/right-to-park wording, derogation from grant and quiet enjoyment. Do not insert these merely because the appellant is a resident.</w:t>
      </w:r>
    </w:p>
    <w:p>
      <w:pPr>
        <w:pStyle w:val="ListBullet"/>
      </w:pPr>
      <w:r>
        <w:t>If the resident's agreement expressly requires compliance with a permit scheme or later regulations, the AI must address that wording rather than pretending it does not exist.</w:t>
      </w:r>
    </w:p>
    <w:p>
      <w:pPr>
        <w:pStyle w:val="ListBullet"/>
      </w:pPr>
      <w:r>
        <w:t>Evidence-first drafting: quote or accurately paraphrase only the relevant uploaded clause; never invent lease terms.</w:t>
      </w:r>
    </w:p>
    <w:p>
      <w:pPr>
        <w:pStyle w:val="Heading1"/>
      </w:pPr>
      <w:r>
        <w:t>PART 8 - Controlled Legal Knowledge Base</w:t>
      </w:r>
    </w:p>
    <w:p>
      <w:r>
        <w:t>The existing approved paragraph library should be converted into structured knowledge modules. The AI may use the modules to reason and draft, rather than mechanically pasting paragraphs.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7E6E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256"/>
            <w:shd w:fill="E7E6E6"/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5256"/>
            <w:vAlign w:val="top"/>
          </w:tcPr>
          <w:p>
            <w:r>
              <w:t>module_id</w:t>
            </w:r>
          </w:p>
        </w:tc>
        <w:tc>
          <w:tcPr>
            <w:tcW w:type="dxa" w:w="5256"/>
            <w:vAlign w:val="top"/>
          </w:tcPr>
          <w:p>
            <w:r>
              <w:t>Stable identifier</w:t>
            </w:r>
          </w:p>
        </w:tc>
      </w:tr>
      <w:tr>
        <w:tc>
          <w:tcPr>
            <w:tcW w:type="dxa" w:w="5256"/>
            <w:vAlign w:val="top"/>
          </w:tcPr>
          <w:p>
            <w:r>
              <w:t>topic</w:t>
            </w:r>
          </w:p>
        </w:tc>
        <w:tc>
          <w:tcPr>
            <w:tcW w:type="dxa" w:w="5256"/>
            <w:vAlign w:val="top"/>
          </w:tcPr>
          <w:p>
            <w:r>
              <w:t>PoFA / payment / ANPR / breakdown / residential / signage / etc.</w:t>
            </w:r>
          </w:p>
        </w:tc>
      </w:tr>
      <w:tr>
        <w:tc>
          <w:tcPr>
            <w:tcW w:type="dxa" w:w="5256"/>
            <w:vAlign w:val="top"/>
          </w:tcPr>
          <w:p>
            <w:r>
              <w:t>use_when</w:t>
            </w:r>
          </w:p>
        </w:tc>
        <w:tc>
          <w:tcPr>
            <w:tcW w:type="dxa" w:w="5256"/>
            <w:vAlign w:val="top"/>
          </w:tcPr>
          <w:p>
            <w:r>
              <w:t>Facts required before the module may be relied upon</w:t>
            </w:r>
          </w:p>
        </w:tc>
      </w:tr>
      <w:tr>
        <w:tc>
          <w:tcPr>
            <w:tcW w:type="dxa" w:w="5256"/>
            <w:vAlign w:val="top"/>
          </w:tcPr>
          <w:p>
            <w:r>
              <w:t>do_not_use_when</w:t>
            </w:r>
          </w:p>
        </w:tc>
        <w:tc>
          <w:tcPr>
            <w:tcW w:type="dxa" w:w="5256"/>
            <w:vAlign w:val="top"/>
          </w:tcPr>
          <w:p>
            <w:r>
              <w:t>Exclusions / incompatible facts</w:t>
            </w:r>
          </w:p>
        </w:tc>
      </w:tr>
      <w:tr>
        <w:tc>
          <w:tcPr>
            <w:tcW w:type="dxa" w:w="5256"/>
            <w:vAlign w:val="top"/>
          </w:tcPr>
          <w:p>
            <w:r>
              <w:t>legal_basis</w:t>
            </w:r>
          </w:p>
        </w:tc>
        <w:tc>
          <w:tcPr>
            <w:tcW w:type="dxa" w:w="5256"/>
            <w:vAlign w:val="top"/>
          </w:tcPr>
          <w:p>
            <w:r>
              <w:t>Verified legislation, Code provision or case principle where applicable</w:t>
            </w:r>
          </w:p>
        </w:tc>
      </w:tr>
      <w:tr>
        <w:tc>
          <w:tcPr>
            <w:tcW w:type="dxa" w:w="5256"/>
            <w:vAlign w:val="top"/>
          </w:tcPr>
          <w:p>
            <w:r>
              <w:t>core_proposition</w:t>
            </w:r>
          </w:p>
        </w:tc>
        <w:tc>
          <w:tcPr>
            <w:tcW w:type="dxa" w:w="5256"/>
            <w:vAlign w:val="top"/>
          </w:tcPr>
          <w:p>
            <w:r>
              <w:t>What the module is permitted to argue</w:t>
            </w:r>
          </w:p>
        </w:tc>
      </w:tr>
      <w:tr>
        <w:tc>
          <w:tcPr>
            <w:tcW w:type="dxa" w:w="5256"/>
            <w:vAlign w:val="top"/>
          </w:tcPr>
          <w:p>
            <w:r>
              <w:t>evidence_needed</w:t>
            </w:r>
          </w:p>
        </w:tc>
        <w:tc>
          <w:tcPr>
            <w:tcW w:type="dxa" w:w="5256"/>
            <w:vAlign w:val="top"/>
          </w:tcPr>
          <w:p>
            <w:r>
              <w:t>Evidence required or helpful</w:t>
            </w:r>
          </w:p>
        </w:tc>
      </w:tr>
      <w:tr>
        <w:tc>
          <w:tcPr>
            <w:tcW w:type="dxa" w:w="5256"/>
            <w:vAlign w:val="top"/>
          </w:tcPr>
          <w:p>
            <w:r>
              <w:t>drafting_notes</w:t>
            </w:r>
          </w:p>
        </w:tc>
        <w:tc>
          <w:tcPr>
            <w:tcW w:type="dxa" w:w="5256"/>
            <w:vAlign w:val="top"/>
          </w:tcPr>
          <w:p>
            <w:r>
              <w:t>Keeper-safe language and limitations</w:t>
            </w:r>
          </w:p>
        </w:tc>
      </w:tr>
      <w:tr>
        <w:tc>
          <w:tcPr>
            <w:tcW w:type="dxa" w:w="5256"/>
            <w:vAlign w:val="top"/>
          </w:tcPr>
          <w:p>
            <w:r>
              <w:t>version / effective_date</w:t>
            </w:r>
          </w:p>
        </w:tc>
        <w:tc>
          <w:tcPr>
            <w:tcW w:type="dxa" w:w="5256"/>
            <w:vAlign w:val="top"/>
          </w:tcPr>
          <w:p>
            <w:r>
              <w:t>For legal/Code updates and event-date applicability</w:t>
            </w:r>
          </w:p>
        </w:tc>
      </w:tr>
    </w:tbl>
    <w:p/>
    <w:p>
      <w:r>
        <w:t>The Private Parking Sector Single Code of Practice must be version-controlled. Current references should not be hard-coded forever; the system must be capable of selecting the version applicable to the parking event and operator transition position.</w:t>
      </w:r>
    </w:p>
    <w:p>
      <w:pPr>
        <w:pStyle w:val="Heading1"/>
      </w:pPr>
      <w:r>
        <w:t>PART 9 - Mandatory AI Drafting Instructions</w:t>
      </w:r>
    </w:p>
    <w:p>
      <w:pPr>
        <w:pStyle w:val="ListBullet"/>
      </w:pPr>
      <w:r>
        <w:t>Write as the registered keeper unless the configured case status requires otherwise.</w:t>
      </w:r>
    </w:p>
    <w:p>
      <w:pPr>
        <w:pStyle w:val="ListBullet"/>
      </w:pPr>
      <w:r>
        <w:t>Never identify or infer the driver.</w:t>
      </w:r>
    </w:p>
    <w:p>
      <w:pPr>
        <w:pStyle w:val="ListBullet"/>
      </w:pPr>
      <w:r>
        <w:t>Never invent facts, evidence, dates, signage, payment, lease terms, operator records or legal authorities.</w:t>
      </w:r>
    </w:p>
    <w:p>
      <w:pPr>
        <w:pStyle w:val="ListBullet"/>
      </w:pPr>
      <w:r>
        <w:t>Use only grounds supported by extracted documents and confirmed answers.</w:t>
      </w:r>
    </w:p>
    <w:p>
      <w:pPr>
        <w:pStyle w:val="ListBullet"/>
      </w:pPr>
      <w:r>
        <w:t>Do not use mitigation as a substitute where a substantive contractual/statutory argument is available.</w:t>
      </w:r>
    </w:p>
    <w:p>
      <w:pPr>
        <w:pStyle w:val="ListBullet"/>
      </w:pPr>
      <w:r>
        <w:t>Do not claim a PoFA defect unless the applicable Schedule 4 requirement has actually been checked.</w:t>
      </w:r>
    </w:p>
    <w:p>
      <w:pPr>
        <w:pStyle w:val="ListBullet"/>
      </w:pPr>
      <w:r>
        <w:t>Do not call ANPR entry-to-exit time automatically 'parking time'.</w:t>
      </w:r>
    </w:p>
    <w:p>
      <w:pPr>
        <w:pStyle w:val="ListBullet"/>
      </w:pPr>
      <w:r>
        <w:t>Do not combine consideration and grace as one free allowance.</w:t>
      </w:r>
    </w:p>
    <w:p>
      <w:pPr>
        <w:pStyle w:val="ListBullet"/>
      </w:pPr>
      <w:r>
        <w:t>Do not apply a universal 10-minute cancellation rule.</w:t>
      </w:r>
    </w:p>
    <w:p>
      <w:pPr>
        <w:pStyle w:val="ListBullet"/>
      </w:pPr>
      <w:r>
        <w:t>Do not state that permit held, genuine customer, breakdown, resident status or disability automatically cancels a charge.</w:t>
      </w:r>
    </w:p>
    <w:p>
      <w:pPr>
        <w:pStyle w:val="ListBullet"/>
      </w:pPr>
      <w:r>
        <w:t>Do not use the obsolete generic 'unlawful penalty / genuine pre-estimate of loss' argument.</w:t>
      </w:r>
    </w:p>
    <w:p>
      <w:pPr>
        <w:pStyle w:val="ListBullet"/>
      </w:pPr>
      <w:r>
        <w:t>Use landowner-authority points proportionately at initial operator appeal.</w:t>
      </w:r>
    </w:p>
    <w:p>
      <w:pPr>
        <w:pStyle w:val="ListBullet"/>
      </w:pPr>
      <w:r>
        <w:t>Produce a coherent letter without module IDs, internal reasoning or system instructions.</w:t>
      </w:r>
    </w:p>
    <w:p>
      <w:pPr>
        <w:pStyle w:val="Heading1"/>
      </w:pPr>
      <w:r>
        <w:t>PART 10 - Validation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7E6E6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5256"/>
            <w:shd w:fill="E7E6E6"/>
          </w:tcPr>
          <w:p>
            <w:r>
              <w:rPr>
                <w:b/>
              </w:rPr>
              <w:t>Fail condition</w:t>
            </w:r>
          </w:p>
        </w:tc>
      </w:tr>
      <w:tr>
        <w:tc>
          <w:tcPr>
            <w:tcW w:type="dxa" w:w="5256"/>
            <w:vAlign w:val="top"/>
          </w:tcPr>
          <w:p>
            <w:r>
              <w:t>Driver safety</w:t>
            </w:r>
          </w:p>
        </w:tc>
        <w:tc>
          <w:tcPr>
            <w:tcW w:type="dxa" w:w="5256"/>
            <w:vAlign w:val="top"/>
          </w:tcPr>
          <w:p>
            <w:r>
              <w:t>Draft identifies, strongly implies or converts keeper facts into a driver admission.</w:t>
            </w:r>
          </w:p>
        </w:tc>
      </w:tr>
      <w:tr>
        <w:tc>
          <w:tcPr>
            <w:tcW w:type="dxa" w:w="5256"/>
            <w:vAlign w:val="top"/>
          </w:tcPr>
          <w:p>
            <w:r>
              <w:t>Fact grounding</w:t>
            </w:r>
          </w:p>
        </w:tc>
        <w:tc>
          <w:tcPr>
            <w:tcW w:type="dxa" w:w="5256"/>
            <w:vAlign w:val="top"/>
          </w:tcPr>
          <w:p>
            <w:r>
              <w:t>Any material factual assertion is unsupported by PCN, evidence or confirmed customer answer.</w:t>
            </w:r>
          </w:p>
        </w:tc>
      </w:tr>
      <w:tr>
        <w:tc>
          <w:tcPr>
            <w:tcW w:type="dxa" w:w="5256"/>
            <w:vAlign w:val="top"/>
          </w:tcPr>
          <w:p>
            <w:r>
              <w:t>Evidence integrity</w:t>
            </w:r>
          </w:p>
        </w:tc>
        <w:tc>
          <w:tcPr>
            <w:tcW w:type="dxa" w:w="5256"/>
            <w:vAlign w:val="top"/>
          </w:tcPr>
          <w:p>
            <w:r>
              <w:t>Draft says evidence is enclosed when it is not uploaded/available.</w:t>
            </w:r>
          </w:p>
        </w:tc>
      </w:tr>
      <w:tr>
        <w:tc>
          <w:tcPr>
            <w:tcW w:type="dxa" w:w="5256"/>
            <w:vAlign w:val="top"/>
          </w:tcPr>
          <w:p>
            <w:r>
              <w:t>PoFA</w:t>
            </w:r>
          </w:p>
        </w:tc>
        <w:tc>
          <w:tcPr>
            <w:tcW w:type="dxa" w:w="5256"/>
            <w:vAlign w:val="top"/>
          </w:tcPr>
          <w:p>
            <w:r>
              <w:t>Draft alleges non-compliance without verified applicable defect.</w:t>
            </w:r>
          </w:p>
        </w:tc>
      </w:tr>
      <w:tr>
        <w:tc>
          <w:tcPr>
            <w:tcW w:type="dxa" w:w="5256"/>
            <w:vAlign w:val="top"/>
          </w:tcPr>
          <w:p>
            <w:r>
              <w:t>Code</w:t>
            </w:r>
          </w:p>
        </w:tc>
        <w:tc>
          <w:tcPr>
            <w:tcW w:type="dxa" w:w="5256"/>
            <w:vAlign w:val="top"/>
          </w:tcPr>
          <w:p>
            <w:r>
              <w:t>Wrong version, transition rule or provision applied to event/operator.</w:t>
            </w:r>
          </w:p>
        </w:tc>
      </w:tr>
      <w:tr>
        <w:tc>
          <w:tcPr>
            <w:tcW w:type="dxa" w:w="5256"/>
            <w:vAlign w:val="top"/>
          </w:tcPr>
          <w:p>
            <w:r>
              <w:t>Residential</w:t>
            </w:r>
          </w:p>
        </w:tc>
        <w:tc>
          <w:tcPr>
            <w:tcW w:type="dxa" w:w="5256"/>
            <w:vAlign w:val="top"/>
          </w:tcPr>
          <w:p>
            <w:r>
              <w:t>Draft invents or overstates lease/tenancy rights.</w:t>
            </w:r>
          </w:p>
        </w:tc>
      </w:tr>
      <w:tr>
        <w:tc>
          <w:tcPr>
            <w:tcW w:type="dxa" w:w="5256"/>
            <w:vAlign w:val="top"/>
          </w:tcPr>
          <w:p>
            <w:r>
              <w:t>Breakdown</w:t>
            </w:r>
          </w:p>
        </w:tc>
        <w:tc>
          <w:tcPr>
            <w:tcW w:type="dxa" w:w="5256"/>
            <w:vAlign w:val="top"/>
          </w:tcPr>
          <w:p>
            <w:r>
              <w:t>Draft states automatic frustration without facts showing genuine prevention/impossibility.</w:t>
            </w:r>
          </w:p>
        </w:tc>
      </w:tr>
      <w:tr>
        <w:tc>
          <w:tcPr>
            <w:tcW w:type="dxa" w:w="5256"/>
            <w:vAlign w:val="top"/>
          </w:tcPr>
          <w:p>
            <w:r>
              <w:t>Consistency</w:t>
            </w:r>
          </w:p>
        </w:tc>
        <w:tc>
          <w:tcPr>
            <w:tcW w:type="dxa" w:w="5256"/>
            <w:vAlign w:val="top"/>
          </w:tcPr>
          <w:p>
            <w:r>
              <w:t>Dates, duration, payment, authorisation or allegations contradict source documents.</w:t>
            </w:r>
          </w:p>
        </w:tc>
      </w:tr>
      <w:tr>
        <w:tc>
          <w:tcPr>
            <w:tcW w:type="dxa" w:w="5256"/>
            <w:vAlign w:val="top"/>
          </w:tcPr>
          <w:p>
            <w:r>
              <w:t>Repetition</w:t>
            </w:r>
          </w:p>
        </w:tc>
        <w:tc>
          <w:tcPr>
            <w:tcW w:type="dxa" w:w="5256"/>
            <w:vAlign w:val="top"/>
          </w:tcPr>
          <w:p>
            <w:r>
              <w:t>Same point repeated under multiple grounds.</w:t>
            </w:r>
          </w:p>
        </w:tc>
      </w:tr>
      <w:tr>
        <w:tc>
          <w:tcPr>
            <w:tcW w:type="dxa" w:w="5256"/>
            <w:vAlign w:val="top"/>
          </w:tcPr>
          <w:p>
            <w:r>
              <w:t>Stage</w:t>
            </w:r>
          </w:p>
        </w:tc>
        <w:tc>
          <w:tcPr>
            <w:tcW w:type="dxa" w:w="5256"/>
            <w:vAlign w:val="top"/>
          </w:tcPr>
          <w:p>
            <w:r>
              <w:t>Draft uses POPLA/IAS/court language at the wrong stage.</w:t>
            </w:r>
          </w:p>
        </w:tc>
      </w:tr>
    </w:tbl>
    <w:p/>
    <w:p>
      <w:r>
        <w:t>Recommended implementation: drafting model and validator should be separate passes/prompts. A failed validation should not be silently ignored.</w:t>
      </w:r>
    </w:p>
    <w:p>
      <w:pPr>
        <w:pStyle w:val="Heading1"/>
      </w:pPr>
      <w:r>
        <w:t>PART 11 - Keeper-Safe Transformations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E7E6E6"/>
          </w:tcPr>
          <w:p>
            <w:r>
              <w:rPr>
                <w:b/>
              </w:rPr>
              <w:t>Customer may say</w:t>
            </w:r>
          </w:p>
        </w:tc>
        <w:tc>
          <w:tcPr>
            <w:tcW w:type="dxa" w:w="3504"/>
            <w:shd w:fill="E7E6E6"/>
          </w:tcPr>
          <w:p>
            <w:r>
              <w:rPr>
                <w:b/>
              </w:rPr>
              <w:t>Do not output</w:t>
            </w:r>
          </w:p>
        </w:tc>
        <w:tc>
          <w:tcPr>
            <w:tcW w:type="dxa" w:w="3504"/>
            <w:shd w:fill="E7E6E6"/>
          </w:tcPr>
          <w:p>
            <w:r>
              <w:rPr>
                <w:b/>
              </w:rPr>
              <w:t>Keeper-safe drafting</w:t>
            </w:r>
          </w:p>
        </w:tc>
      </w:tr>
      <w:tr>
        <w:tc>
          <w:tcPr>
            <w:tcW w:type="dxa" w:w="3504"/>
            <w:vAlign w:val="top"/>
          </w:tcPr>
          <w:p>
            <w:r>
              <w:t>I paid on the app.</w:t>
            </w:r>
          </w:p>
        </w:tc>
        <w:tc>
          <w:tcPr>
            <w:tcW w:type="dxa" w:w="3504"/>
            <w:vAlign w:val="top"/>
          </w:tcPr>
          <w:p>
            <w:r>
              <w:t>I paid...</w:t>
            </w:r>
          </w:p>
        </w:tc>
        <w:tc>
          <w:tcPr>
            <w:tcW w:type="dxa" w:w="3504"/>
            <w:vAlign w:val="top"/>
          </w:tcPr>
          <w:p>
            <w:r>
              <w:t>A payment was made using the parking app.</w:t>
            </w:r>
          </w:p>
        </w:tc>
      </w:tr>
      <w:tr>
        <w:tc>
          <w:tcPr>
            <w:tcW w:type="dxa" w:w="3504"/>
            <w:vAlign w:val="top"/>
          </w:tcPr>
          <w:p>
            <w:r>
              <w:t>I broke down and couldn't move.</w:t>
            </w:r>
          </w:p>
        </w:tc>
        <w:tc>
          <w:tcPr>
            <w:tcW w:type="dxa" w:w="3504"/>
            <w:vAlign w:val="top"/>
          </w:tcPr>
          <w:p>
            <w:r>
              <w:t>I broke down...</w:t>
            </w:r>
          </w:p>
        </w:tc>
        <w:tc>
          <w:tcPr>
            <w:tcW w:type="dxa" w:w="3504"/>
            <w:vAlign w:val="top"/>
          </w:tcPr>
          <w:p>
            <w:r>
              <w:t>The vehicle became mechanically immobilised and could not reasonably be moved during the relevant period.</w:t>
            </w:r>
          </w:p>
        </w:tc>
      </w:tr>
      <w:tr>
        <w:tc>
          <w:tcPr>
            <w:tcW w:type="dxa" w:w="3504"/>
            <w:vAlign w:val="top"/>
          </w:tcPr>
          <w:p>
            <w:r>
              <w:t>I park there because I live there.</w:t>
            </w:r>
          </w:p>
        </w:tc>
        <w:tc>
          <w:tcPr>
            <w:tcW w:type="dxa" w:w="3504"/>
            <w:vAlign w:val="top"/>
          </w:tcPr>
          <w:p>
            <w:r>
              <w:t>I live there and parked...</w:t>
            </w:r>
          </w:p>
        </w:tc>
        <w:tc>
          <w:tcPr>
            <w:tcW w:type="dxa" w:w="3504"/>
            <w:vAlign w:val="top"/>
          </w:tcPr>
          <w:p>
            <w:r>
              <w:t>The vehicle was parked pursuant to the resident's pre-existing parking rights, subject to the terms of the relevant tenancy/lease.</w:t>
            </w:r>
          </w:p>
        </w:tc>
      </w:tr>
      <w:tr>
        <w:tc>
          <w:tcPr>
            <w:tcW w:type="dxa" w:w="3504"/>
            <w:vAlign w:val="top"/>
          </w:tcPr>
          <w:p>
            <w:r>
              <w:t>I came back twice.</w:t>
            </w:r>
          </w:p>
        </w:tc>
        <w:tc>
          <w:tcPr>
            <w:tcW w:type="dxa" w:w="3504"/>
            <w:vAlign w:val="top"/>
          </w:tcPr>
          <w:p>
            <w:r>
              <w:t>I drove back...</w:t>
            </w:r>
          </w:p>
        </w:tc>
        <w:tc>
          <w:tcPr>
            <w:tcW w:type="dxa" w:w="3504"/>
            <w:vAlign w:val="top"/>
          </w:tcPr>
          <w:p>
            <w:r>
              <w:t>The vehicle attended the location on more than one separate occasion.</w:t>
            </w:r>
          </w:p>
        </w:tc>
      </w:tr>
      <w:tr>
        <w:tc>
          <w:tcPr>
            <w:tcW w:type="dxa" w:w="3504"/>
            <w:vAlign w:val="top"/>
          </w:tcPr>
          <w:p>
            <w:r>
              <w:t>I didn't see the sign.</w:t>
            </w:r>
          </w:p>
        </w:tc>
        <w:tc>
          <w:tcPr>
            <w:tcW w:type="dxa" w:w="3504"/>
            <w:vAlign w:val="top"/>
          </w:tcPr>
          <w:p>
            <w:r>
              <w:t>I did not see...</w:t>
            </w:r>
          </w:p>
        </w:tc>
        <w:tc>
          <w:tcPr>
            <w:tcW w:type="dxa" w:w="3504"/>
            <w:vAlign w:val="top"/>
          </w:tcPr>
          <w:p>
            <w:r>
              <w:t>The relevant term was not sufficiently prominent/visible in the circumstances, where supported by the evidence.</w:t>
            </w:r>
          </w:p>
        </w:tc>
      </w:tr>
    </w:tbl>
    <w:p/>
    <w:p>
      <w:pPr>
        <w:pStyle w:val="Heading1"/>
      </w:pPr>
      <w:r>
        <w:t>PART 12 - Worked AI Scenarios</w:t>
      </w:r>
    </w:p>
    <w:p>
      <w:pPr>
        <w:pStyle w:val="Heading2"/>
      </w:pPr>
      <w:r>
        <w:t>Example A - Breakdown</w:t>
      </w:r>
    </w:p>
    <w:p>
      <w:r>
        <w:t>PCN alleges 47-minute overstay. Customer confirms vehicle would not start, recovery attended 35 minutes after permitted period ended, and recovery report is uploaded. AI should prioritise breakdown/frustration-impossibility analysis, accurately refer to recovery evidence, then consider grace/actual parking time only if independently relevant. It must not write a sympathy-only mitigation appeal or state that breakdown automatically voids every contract.</w:t>
      </w:r>
    </w:p>
    <w:p>
      <w:pPr>
        <w:pStyle w:val="Heading2"/>
      </w:pPr>
      <w:r>
        <w:t>Example B - Resident / Allocated Bay</w:t>
      </w:r>
    </w:p>
    <w:p>
      <w:r>
        <w:t>PCN alleges no permit displayed. Uploaded lease grants the tenant/resident a right to park in an identified space and contains no apparent permit-display term in the supplied clause. AI should lead with the pre-existing contractual parking right and analyse whether the operator's later signage/permit scheme can impose the alleged obligation. Permit-display arguments are secondary. If the uploaded lease contains a regulations/permit clause, that must be addressed rather than omitted.</w:t>
      </w:r>
    </w:p>
    <w:p>
      <w:pPr>
        <w:pStyle w:val="Heading2"/>
      </w:pPr>
      <w:r>
        <w:t>Example C - Payment + Minor Keying Error</w:t>
      </w:r>
    </w:p>
    <w:p>
      <w:r>
        <w:t>AI reads payment evidence and PCN, asks only enough to confirm the registration-entry error, then drafts around payment made, transaction matching and applicable keying-error requirements. Repeated statements that payment was made should be merged.</w:t>
      </w:r>
    </w:p>
    <w:p>
      <w:pPr>
        <w:pStyle w:val="Heading2"/>
      </w:pPr>
      <w:r>
        <w:t>Example D - Keeper / Late NTK</w:t>
      </w:r>
    </w:p>
    <w:p>
      <w:r>
        <w:t>AI calculates the relevant notice chronology, checks the applicable Schedule 4 route, and uses a keeper-liability argument only if the timing/content failure is actually established. The draft must not identify the driver.</w:t>
      </w:r>
    </w:p>
    <w:p>
      <w:pPr>
        <w:pStyle w:val="Heading1"/>
      </w:pPr>
      <w:r>
        <w:t>PART 13 - Developer Build Sequence</w:t>
      </w:r>
    </w:p>
    <w:p>
      <w:r>
        <w:t>Phase 1: PCN/evidence upload, document classification and structured extraction.</w:t>
      </w:r>
    </w:p>
    <w:p>
      <w:r>
        <w:t>Phase 2: Customer confirmation screen.</w:t>
      </w:r>
    </w:p>
    <w:p>
      <w:r>
        <w:t>Phase 3: Adaptive question service driven by missing facts/issues, not a fixed branch tree.</w:t>
      </w:r>
    </w:p>
    <w:p>
      <w:r>
        <w:t>Phase 4: Structured knowledge-base storage with module versioning and admin editing.</w:t>
      </w:r>
    </w:p>
    <w:p>
      <w:r>
        <w:t>Phase 5: AI issue-analysis/retrieval layer.</w:t>
      </w:r>
    </w:p>
    <w:p>
      <w:r>
        <w:t>Phase 6: AI bespoke appeal drafting layer.</w:t>
      </w:r>
    </w:p>
    <w:p>
      <w:r>
        <w:t>Phase 7: Independent deterministic/AI validation layer with hard keeper-safety rules.</w:t>
      </w:r>
    </w:p>
    <w:p>
      <w:r>
        <w:t>Phase 8: Evidence references, PDF/document generation and CRM persistence.</w:t>
      </w:r>
    </w:p>
    <w:p>
      <w:r>
        <w:t>Phase 9: Scenario test suite covering each major route and mixed-ground cases.</w:t>
      </w:r>
    </w:p>
    <w:p>
      <w:r>
        <w:t>Phase 10: Admin controls for module wording, legal sources, Code versions, prompts and validation rules without application rewrites.</w:t>
      </w:r>
    </w:p>
    <w:p>
      <w:pPr>
        <w:pStyle w:val="Heading1"/>
      </w:pPr>
      <w:r>
        <w:t>PART 14 - What Changes From Version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7E6E6"/>
          </w:tcPr>
          <w:p>
            <w:r>
              <w:rPr>
                <w:b/>
              </w:rPr>
              <w:t>Version 1</w:t>
            </w:r>
          </w:p>
        </w:tc>
        <w:tc>
          <w:tcPr>
            <w:tcW w:type="dxa" w:w="5256"/>
            <w:shd w:fill="E7E6E6"/>
          </w:tcPr>
          <w:p>
            <w:r>
              <w:rPr>
                <w:b/>
              </w:rPr>
              <w:t>Version 2</w:t>
            </w:r>
          </w:p>
        </w:tc>
      </w:tr>
      <w:tr>
        <w:tc>
          <w:tcPr>
            <w:tcW w:type="dxa" w:w="5256"/>
            <w:vAlign w:val="top"/>
          </w:tcPr>
          <w:p>
            <w:r>
              <w:t>Fixed core + branch questions</w:t>
            </w:r>
          </w:p>
        </w:tc>
        <w:tc>
          <w:tcPr>
            <w:tcW w:type="dxa" w:w="5256"/>
            <w:vAlign w:val="top"/>
          </w:tcPr>
          <w:p>
            <w:r>
              <w:t>AI-led adaptive questions after document extraction</w:t>
            </w:r>
          </w:p>
        </w:tc>
      </w:tr>
      <w:tr>
        <w:tc>
          <w:tcPr>
            <w:tcW w:type="dxa" w:w="5256"/>
            <w:vAlign w:val="top"/>
          </w:tcPr>
          <w:p>
            <w:r>
              <w:t>Master trigger table selects paragraph IDs</w:t>
            </w:r>
          </w:p>
        </w:tc>
        <w:tc>
          <w:tcPr>
            <w:tcW w:type="dxa" w:w="5256"/>
            <w:vAlign w:val="top"/>
          </w:tcPr>
          <w:p>
            <w:r>
              <w:t>AI issue analysis retrieves approved knowledge modules</w:t>
            </w:r>
          </w:p>
        </w:tc>
      </w:tr>
      <w:tr>
        <w:tc>
          <w:tcPr>
            <w:tcW w:type="dxa" w:w="5256"/>
            <w:vAlign w:val="top"/>
          </w:tcPr>
          <w:p>
            <w:r>
              <w:t>Paragraph assembly + deduplication</w:t>
            </w:r>
          </w:p>
        </w:tc>
        <w:tc>
          <w:tcPr>
            <w:tcW w:type="dxa" w:w="5256"/>
            <w:vAlign w:val="top"/>
          </w:tcPr>
          <w:p>
            <w:r>
              <w:t>Bespoke AI drafting grounded in approved modules</w:t>
            </w:r>
          </w:p>
        </w:tc>
      </w:tr>
      <w:tr>
        <w:tc>
          <w:tcPr>
            <w:tcW w:type="dxa" w:w="5256"/>
            <w:vAlign w:val="top"/>
          </w:tcPr>
          <w:p>
            <w:r>
              <w:t>Rules engine is primary legal selector</w:t>
            </w:r>
          </w:p>
        </w:tc>
        <w:tc>
          <w:tcPr>
            <w:tcW w:type="dxa" w:w="5256"/>
            <w:vAlign w:val="top"/>
          </w:tcPr>
          <w:p>
            <w:r>
              <w:t>Rules/validators act as guardrails and hard checks</w:t>
            </w:r>
          </w:p>
        </w:tc>
      </w:tr>
      <w:tr>
        <w:tc>
          <w:tcPr>
            <w:tcW w:type="dxa" w:w="5256"/>
            <w:vAlign w:val="top"/>
          </w:tcPr>
          <w:p>
            <w:r>
              <w:t>Paragraph library is final wording</w:t>
            </w:r>
          </w:p>
        </w:tc>
        <w:tc>
          <w:tcPr>
            <w:tcW w:type="dxa" w:w="5256"/>
            <w:vAlign w:val="top"/>
          </w:tcPr>
          <w:p>
            <w:r>
              <w:t>Library becomes controlled legal/factual knowledge source</w:t>
            </w:r>
          </w:p>
        </w:tc>
      </w:tr>
      <w:tr>
        <w:tc>
          <w:tcPr>
            <w:tcW w:type="dxa" w:w="5256"/>
            <w:vAlign w:val="top"/>
          </w:tcPr>
          <w:p>
            <w:r>
              <w:t>Worked rule combinations</w:t>
            </w:r>
          </w:p>
        </w:tc>
        <w:tc>
          <w:tcPr>
            <w:tcW w:type="dxa" w:w="5256"/>
            <w:vAlign w:val="top"/>
          </w:tcPr>
          <w:p>
            <w:r>
              <w:t>Scenario-based AI/validator tests</w:t>
            </w:r>
          </w:p>
        </w:tc>
      </w:tr>
    </w:tbl>
    <w:p/>
    <w:p>
      <w:r>
        <w:t>RETAIN from Version 1: scope, PCN data extraction, keeper-only policy, evidence handling, PoFA caution, consideration/grace distinction, ANPR caution, landowner proportionality, prohibition on obsolete penalty arguments, final PDF/document generation and CRM-ready structured data.</w:t>
      </w:r>
    </w:p>
    <w:p>
      <w:r>
        <w:t>SUPERSEDE from Version 1: the Master Trigger/Decision Rule Table as the primary drafting engine, fixed branch-question implementation, paragraph-ID assembly as the final drafting method, and the old build phases requiring implementation of every trigger before generation.</w:t>
      </w:r>
    </w:p>
    <w:p>
      <w:pPr>
        <w:pStyle w:val="Heading1"/>
      </w:pPr>
      <w:r>
        <w:t>PART 15 - Acceptance Criteria</w:t>
      </w:r>
    </w:p>
    <w:p>
      <w:pPr>
        <w:pStyle w:val="ListBullet"/>
      </w:pPr>
      <w:r>
        <w:t>A normal customer can upload a PCN, confirm extracted facts and complete only a short relevant question journey.</w:t>
      </w:r>
    </w:p>
    <w:p>
      <w:pPr>
        <w:pStyle w:val="ListBullet"/>
      </w:pPr>
      <w:r>
        <w:t>Generated appeals are bespoke and coherent rather than visibly stitched paragraphs.</w:t>
      </w:r>
    </w:p>
    <w:p>
      <w:pPr>
        <w:pStyle w:val="ListBullet"/>
      </w:pPr>
      <w:r>
        <w:t>No driver identification is produced on an unidentified-driver keeper route.</w:t>
      </w:r>
    </w:p>
    <w:p>
      <w:pPr>
        <w:pStyle w:val="ListBullet"/>
      </w:pPr>
      <w:r>
        <w:t>Every material assertion is traceable to uploaded/confirmed facts or an approved legal knowledge module.</w:t>
      </w:r>
    </w:p>
    <w:p>
      <w:pPr>
        <w:pStyle w:val="ListBullet"/>
      </w:pPr>
      <w:r>
        <w:t>Breakdown cases are recognised as potential frustration/impossibility cases, subject to evidence and facts.</w:t>
      </w:r>
    </w:p>
    <w:p>
      <w:pPr>
        <w:pStyle w:val="ListBullet"/>
      </w:pPr>
      <w:r>
        <w:t>Residential cases analyse the actual lease/tenancy/parking grant before generic permit arguments.</w:t>
      </w:r>
    </w:p>
    <w:p>
      <w:pPr>
        <w:pStyle w:val="ListBullet"/>
      </w:pPr>
      <w:r>
        <w:t>PoFA and Code arguments are applied only when the applicable tests are satisfied.</w:t>
      </w:r>
    </w:p>
    <w:p>
      <w:pPr>
        <w:pStyle w:val="ListBullet"/>
      </w:pPr>
      <w:r>
        <w:t>Validator blocks unsupported evidence claims, invented lease terms, contradictory dates and wrong-stage language.</w:t>
      </w:r>
    </w:p>
    <w:p>
      <w:pPr>
        <w:pStyle w:val="ListBullet"/>
      </w:pPr>
      <w:r>
        <w:t>Admin can update modules, Code versions and drafting/validation instructions without rebuilding the application.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Private Parking Appeal Automation - MASTER Developer Pack V2 - AI Generated Appeals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