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PRIVATE PARKING APPEAL AUTOMATION</w:t>
      </w:r>
    </w:p>
    <w:p>
      <w:pPr>
        <w:jc w:val="center"/>
      </w:pPr>
      <w:r>
        <w:rPr>
          <w:b/>
          <w:sz w:val="28"/>
        </w:rPr>
        <w:t>LEGAL AUTHORITY &amp; SOURCE REGISTER - VERSION 1</w:t>
      </w:r>
    </w:p>
    <w:p>
      <w:r>
        <w:t>Purpose: authoritative legal/source layer for the initial operator appeal generator. This register tells the developer and legal-content administrator what is binding law, what is an industry standard, what is guidance/consultation material, and what must never be presented as binding law.</w:t>
      </w:r>
    </w:p>
    <w:p>
      <w:pPr>
        <w:pStyle w:val="Heading1"/>
      </w:pPr>
      <w:r>
        <w:t>1. Authority Hierarchy</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rPr>
                <w:b/>
              </w:rPr>
              <w:t>Level</w:t>
            </w:r>
          </w:p>
        </w:tc>
        <w:tc>
          <w:tcPr>
            <w:tcW w:type="dxa" w:w="5112"/>
            <w:shd w:fill="E7E6E6"/>
          </w:tcPr>
          <w:p>
            <w:r>
              <w:rPr>
                <w:b/>
              </w:rPr>
              <w:t>Treatment by system</w:t>
            </w:r>
          </w:p>
        </w:tc>
      </w:tr>
      <w:tr>
        <w:tc>
          <w:tcPr>
            <w:tcW w:type="dxa" w:w="5112"/>
            <w:vAlign w:val="top"/>
          </w:tcPr>
          <w:p>
            <w:r>
              <w:t>Primary legislation</w:t>
            </w:r>
          </w:p>
        </w:tc>
        <w:tc>
          <w:tcPr>
            <w:tcW w:type="dxa" w:w="5112"/>
            <w:vAlign w:val="top"/>
          </w:tcPr>
          <w:p>
            <w:r>
              <w:t>Binding law. Use exact current legislation and jurisdictional scope.</w:t>
            </w:r>
          </w:p>
        </w:tc>
      </w:tr>
      <w:tr>
        <w:tc>
          <w:tcPr>
            <w:tcW w:type="dxa" w:w="5112"/>
            <w:vAlign w:val="top"/>
          </w:tcPr>
          <w:p>
            <w:r>
              <w:t>Binding appellate case law</w:t>
            </w:r>
          </w:p>
        </w:tc>
        <w:tc>
          <w:tcPr>
            <w:tcW w:type="dxa" w:w="5112"/>
            <w:vAlign w:val="top"/>
          </w:tcPr>
          <w:p>
            <w:r>
              <w:t>May be relied on for the legal proposition actually decided; fact-sensitive application required.</w:t>
            </w:r>
          </w:p>
        </w:tc>
      </w:tr>
      <w:tr>
        <w:tc>
          <w:tcPr>
            <w:tcW w:type="dxa" w:w="5112"/>
            <w:vAlign w:val="top"/>
          </w:tcPr>
          <w:p>
            <w:r>
              <w:t>Lower-court / persuasive authority</w:t>
            </w:r>
          </w:p>
        </w:tc>
        <w:tc>
          <w:tcPr>
            <w:tcW w:type="dxa" w:w="5112"/>
            <w:vAlign w:val="top"/>
          </w:tcPr>
          <w:p>
            <w:r>
              <w:t>Do not present as binding. Use only when administrator has verified the transcript and enabled the authority.</w:t>
            </w:r>
          </w:p>
        </w:tc>
      </w:tr>
      <w:tr>
        <w:tc>
          <w:tcPr>
            <w:tcW w:type="dxa" w:w="5112"/>
            <w:vAlign w:val="top"/>
          </w:tcPr>
          <w:p>
            <w:r>
              <w:t>Industry Code</w:t>
            </w:r>
          </w:p>
        </w:tc>
        <w:tc>
          <w:tcPr>
            <w:tcW w:type="dxa" w:w="5112"/>
            <w:vAlign w:val="top"/>
          </w:tcPr>
          <w:p>
            <w:r>
              <w:t>Contractual/accreditation standard for participating operators, not an Act of Parliament. Apply correct version/transition.</w:t>
            </w:r>
          </w:p>
        </w:tc>
      </w:tr>
      <w:tr>
        <w:tc>
          <w:tcPr>
            <w:tcW w:type="dxa" w:w="5112"/>
            <w:vAlign w:val="top"/>
          </w:tcPr>
          <w:p>
            <w:r>
              <w:t>Government consultation / withdrawn Code</w:t>
            </w:r>
          </w:p>
        </w:tc>
        <w:tc>
          <w:tcPr>
            <w:tcW w:type="dxa" w:w="5112"/>
            <w:vAlign w:val="top"/>
          </w:tcPr>
          <w:p>
            <w:r>
              <w:t>Context and policy evidence only unless a current rule expressly adopts it. Never label withdrawn/proposed material as current statutory law.</w:t>
            </w:r>
          </w:p>
        </w:tc>
      </w:tr>
      <w:tr>
        <w:tc>
          <w:tcPr>
            <w:tcW w:type="dxa" w:w="5112"/>
            <w:vAlign w:val="top"/>
          </w:tcPr>
          <w:p>
            <w:r>
              <w:t>CMA guidance / enforcement material</w:t>
            </w:r>
          </w:p>
        </w:tc>
        <w:tc>
          <w:tcPr>
            <w:tcW w:type="dxa" w:w="5112"/>
            <w:vAlign w:val="top"/>
          </w:tcPr>
          <w:p>
            <w:r>
              <w:t>Consumer-law guidance and regulatory context. Distinguish guidance, open investigations and actual findings.</w:t>
            </w:r>
          </w:p>
        </w:tc>
      </w:tr>
    </w:tbl>
    <w:p/>
    <w:p>
      <w:pPr>
        <w:pStyle w:val="Heading1"/>
      </w:pPr>
      <w:r>
        <w:t>2. Core Legislation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7E6E6"/>
          </w:tcPr>
          <w:p>
            <w:r>
              <w:rPr>
                <w:b/>
              </w:rPr>
              <w:t>Authority</w:t>
            </w:r>
          </w:p>
        </w:tc>
        <w:tc>
          <w:tcPr>
            <w:tcW w:type="dxa" w:w="3408"/>
            <w:shd w:fill="E7E6E6"/>
          </w:tcPr>
          <w:p>
            <w:r>
              <w:rPr>
                <w:b/>
              </w:rPr>
              <w:t>Core use in knowledge base</w:t>
            </w:r>
          </w:p>
        </w:tc>
        <w:tc>
          <w:tcPr>
            <w:tcW w:type="dxa" w:w="3408"/>
            <w:shd w:fill="E7E6E6"/>
          </w:tcPr>
          <w:p>
            <w:r>
              <w:rPr>
                <w:b/>
              </w:rPr>
              <w:t>Implementation note</w:t>
            </w:r>
          </w:p>
        </w:tc>
      </w:tr>
      <w:tr>
        <w:tc>
          <w:tcPr>
            <w:tcW w:type="dxa" w:w="3408"/>
            <w:vAlign w:val="top"/>
          </w:tcPr>
          <w:p>
            <w:r>
              <w:t>Protection of Freedoms Act 2012, s56 &amp; Schedule 4</w:t>
            </w:r>
          </w:p>
        </w:tc>
        <w:tc>
          <w:tcPr>
            <w:tcW w:type="dxa" w:w="3408"/>
            <w:vAlign w:val="top"/>
          </w:tcPr>
          <w:p>
            <w:r>
              <w:t>Recovery of unpaid parking charges from vehicle keeper/hirer in England and Wales where statutory conditions are met.</w:t>
            </w:r>
          </w:p>
        </w:tc>
        <w:tc>
          <w:tcPr>
            <w:tcW w:type="dxa" w:w="3408"/>
            <w:vAlign w:val="top"/>
          </w:tcPr>
          <w:p>
            <w:r>
              <w:t>Route-specific checks for Notice to Driver/Notice to Keeper, relevant land, timing, prescribed information and keeper/hirer conditions. Failure affects keeper liability; it does not automatically erase any driver liability.</w:t>
            </w:r>
          </w:p>
        </w:tc>
      </w:tr>
      <w:tr>
        <w:tc>
          <w:tcPr>
            <w:tcW w:type="dxa" w:w="3408"/>
            <w:vAlign w:val="top"/>
          </w:tcPr>
          <w:p>
            <w:r>
              <w:t>Consumer Rights Act 2015</w:t>
            </w:r>
          </w:p>
        </w:tc>
        <w:tc>
          <w:tcPr>
            <w:tcW w:type="dxa" w:w="3408"/>
            <w:vAlign w:val="top"/>
          </w:tcPr>
          <w:p>
            <w:r>
              <w:t>Fairness and transparency of consumer contract terms/notices.</w:t>
            </w:r>
          </w:p>
        </w:tc>
        <w:tc>
          <w:tcPr>
            <w:tcW w:type="dxa" w:w="3408"/>
            <w:vAlign w:val="top"/>
          </w:tcPr>
          <w:p>
            <w:r>
              <w:t>Use only where the term, notice or charge raises a genuine fairness/transparency issue. Do not use as generic boilerplate.</w:t>
            </w:r>
          </w:p>
        </w:tc>
      </w:tr>
      <w:tr>
        <w:tc>
          <w:tcPr>
            <w:tcW w:type="dxa" w:w="3408"/>
            <w:vAlign w:val="top"/>
          </w:tcPr>
          <w:p>
            <w:r>
              <w:t>Equality Act 2010, including ss20/29 and Schedule 2</w:t>
            </w:r>
          </w:p>
        </w:tc>
        <w:tc>
          <w:tcPr>
            <w:tcW w:type="dxa" w:w="3408"/>
            <w:vAlign w:val="top"/>
          </w:tcPr>
          <w:p>
            <w:r>
              <w:t>Reasonable adjustments in services and disability-related disadvantage.</w:t>
            </w:r>
          </w:p>
        </w:tc>
        <w:tc>
          <w:tcPr>
            <w:tcW w:type="dxa" w:w="3408"/>
            <w:vAlign w:val="top"/>
          </w:tcPr>
          <w:p>
            <w:r>
              <w:t>Apply only when facts engage the Act. Do not require unnecessary medical disclosure; Blue Badge status is not the statutory test.</w:t>
            </w:r>
          </w:p>
        </w:tc>
      </w:tr>
      <w:tr>
        <w:tc>
          <w:tcPr>
            <w:tcW w:type="dxa" w:w="3408"/>
            <w:vAlign w:val="top"/>
          </w:tcPr>
          <w:p>
            <w:r>
              <w:t>Parking (Code of Practice) Act 2019</w:t>
            </w:r>
          </w:p>
        </w:tc>
        <w:tc>
          <w:tcPr>
            <w:tcW w:type="dxa" w:w="3408"/>
            <w:vAlign w:val="top"/>
          </w:tcPr>
          <w:p>
            <w:r>
              <w:t>Statutory framework requiring a government private parking Code and appeals arrangements.</w:t>
            </w:r>
          </w:p>
        </w:tc>
        <w:tc>
          <w:tcPr>
            <w:tcW w:type="dxa" w:w="3408"/>
            <w:vAlign w:val="top"/>
          </w:tcPr>
          <w:p>
            <w:r>
              <w:t>Important framework law, but do not confuse it with the current industry Single Code.</w:t>
            </w:r>
          </w:p>
        </w:tc>
      </w:tr>
      <w:tr>
        <w:tc>
          <w:tcPr>
            <w:tcW w:type="dxa" w:w="3408"/>
            <w:vAlign w:val="top"/>
          </w:tcPr>
          <w:p>
            <w:r>
              <w:t>Digital Markets, Competition and Consumers Act 2024 / current consumer protection regime</w:t>
            </w:r>
          </w:p>
        </w:tc>
        <w:tc>
          <w:tcPr>
            <w:tcW w:type="dxa" w:w="3408"/>
            <w:vAlign w:val="top"/>
          </w:tcPr>
          <w:p>
            <w:r>
              <w:t>Consumer protection enforcement context, including CMA direct enforcement powers.</w:t>
            </w:r>
          </w:p>
        </w:tc>
        <w:tc>
          <w:tcPr>
            <w:tcW w:type="dxa" w:w="3408"/>
            <w:vAlign w:val="top"/>
          </w:tcPr>
          <w:p>
            <w:r>
              <w:t>Developer should not generate technical DMCC claims unless a verified knowledge module is enabled.</w:t>
            </w:r>
          </w:p>
        </w:tc>
      </w:tr>
    </w:tbl>
    <w:p/>
    <w:p>
      <w:r>
        <w:t>https://www.legislation.gov.uk/ukpga/2012/9/schedule/4</w:t>
      </w:r>
    </w:p>
    <w:p>
      <w:r>
        <w:t>https://www.legislation.gov.uk/ukpga/2015/15/contents</w:t>
      </w:r>
    </w:p>
    <w:p>
      <w:r>
        <w:t>https://www.legislation.gov.uk/ukpga/2010/15/contents</w:t>
      </w:r>
    </w:p>
    <w:p>
      <w:r>
        <w:t>https://www.legislation.gov.uk/ukpga/2019/8/contents</w:t>
      </w:r>
    </w:p>
    <w:p>
      <w:pPr>
        <w:pStyle w:val="Heading1"/>
      </w:pPr>
      <w:r>
        <w:t>3. Protection of Freedoms Act 2012 - Developer Checklist</w:t>
      </w:r>
    </w:p>
    <w:p>
      <w:r>
        <w:t>The application must not use a generic 'non-compliant with PoFA' paragraph. It must first classify the statutory route and test only the requirements relevant to that route.</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rPr>
                <w:b/>
              </w:rPr>
              <w:t>Check group</w:t>
            </w:r>
          </w:p>
        </w:tc>
        <w:tc>
          <w:tcPr>
            <w:tcW w:type="dxa" w:w="5112"/>
            <w:shd w:fill="E7E6E6"/>
          </w:tcPr>
          <w:p>
            <w:r>
              <w:rPr>
                <w:b/>
              </w:rPr>
              <w:t>System requirement</w:t>
            </w:r>
          </w:p>
        </w:tc>
      </w:tr>
      <w:tr>
        <w:tc>
          <w:tcPr>
            <w:tcW w:type="dxa" w:w="5112"/>
            <w:vAlign w:val="top"/>
          </w:tcPr>
          <w:p>
            <w:r>
              <w:t>Jurisdiction / relevant land</w:t>
            </w:r>
          </w:p>
        </w:tc>
        <w:tc>
          <w:tcPr>
            <w:tcW w:type="dxa" w:w="5112"/>
            <w:vAlign w:val="top"/>
          </w:tcPr>
          <w:p>
            <w:r>
              <w:t>Confirm Schedule 4 is capable of applying to the land/event. Flag byelaw or other excluded/non-relevant land for review.</w:t>
            </w:r>
          </w:p>
        </w:tc>
      </w:tr>
      <w:tr>
        <w:tc>
          <w:tcPr>
            <w:tcW w:type="dxa" w:w="5112"/>
            <w:vAlign w:val="top"/>
          </w:tcPr>
          <w:p>
            <w:r>
              <w:t>Notice route</w:t>
            </w:r>
          </w:p>
        </w:tc>
        <w:tc>
          <w:tcPr>
            <w:tcW w:type="dxa" w:w="5112"/>
            <w:vAlign w:val="top"/>
          </w:tcPr>
          <w:p>
            <w:r>
              <w:t>POSTAL without prior Notice to Driver; WINDSCREEN/Notice to Driver followed by NTK; hire/lease vehicle route; unresolved.</w:t>
            </w:r>
          </w:p>
        </w:tc>
      </w:tr>
      <w:tr>
        <w:tc>
          <w:tcPr>
            <w:tcW w:type="dxa" w:w="5112"/>
            <w:vAlign w:val="top"/>
          </w:tcPr>
          <w:p>
            <w:r>
              <w:t>Timing</w:t>
            </w:r>
          </w:p>
        </w:tc>
        <w:tc>
          <w:tcPr>
            <w:tcW w:type="dxa" w:w="5112"/>
            <w:vAlign w:val="top"/>
          </w:tcPr>
          <w:p>
            <w:r>
              <w:t>Calculate the applicable statutory notice/delivery window from source dates. Do not infer receipt dates where not known.</w:t>
            </w:r>
          </w:p>
        </w:tc>
      </w:tr>
      <w:tr>
        <w:tc>
          <w:tcPr>
            <w:tcW w:type="dxa" w:w="5112"/>
            <w:vAlign w:val="top"/>
          </w:tcPr>
          <w:p>
            <w:r>
              <w:t>Parking period</w:t>
            </w:r>
          </w:p>
        </w:tc>
        <w:tc>
          <w:tcPr>
            <w:tcW w:type="dxa" w:w="5112"/>
            <w:vAlign w:val="top"/>
          </w:tcPr>
          <w:p>
            <w:r>
              <w:t>Check whether the notice specifies the required parking period rather than relying only on camera entry/exit timestamps.</w:t>
            </w:r>
          </w:p>
        </w:tc>
      </w:tr>
      <w:tr>
        <w:tc>
          <w:tcPr>
            <w:tcW w:type="dxa" w:w="5112"/>
            <w:vAlign w:val="top"/>
          </w:tcPr>
          <w:p>
            <w:r>
              <w:t>Creditor / amount / circumstances</w:t>
            </w:r>
          </w:p>
        </w:tc>
        <w:tc>
          <w:tcPr>
            <w:tcW w:type="dxa" w:w="5112"/>
            <w:vAlign w:val="top"/>
          </w:tcPr>
          <w:p>
            <w:r>
              <w:t>Check the route-specific prescribed information actually required by Schedule 4.</w:t>
            </w:r>
          </w:p>
        </w:tc>
      </w:tr>
      <w:tr>
        <w:tc>
          <w:tcPr>
            <w:tcW w:type="dxa" w:w="5112"/>
            <w:vAlign w:val="top"/>
          </w:tcPr>
          <w:p>
            <w:r>
              <w:t>Keeper warning / invitation</w:t>
            </w:r>
          </w:p>
        </w:tc>
        <w:tc>
          <w:tcPr>
            <w:tcW w:type="dxa" w:w="5112"/>
            <w:vAlign w:val="top"/>
          </w:tcPr>
          <w:p>
            <w:r>
              <w:t>Check exact route-specific statutory wording requirements in substance before alleging a defect.</w:t>
            </w:r>
          </w:p>
        </w:tc>
      </w:tr>
      <w:tr>
        <w:tc>
          <w:tcPr>
            <w:tcW w:type="dxa" w:w="5112"/>
            <w:vAlign w:val="top"/>
          </w:tcPr>
          <w:p>
            <w:r>
              <w:t>Driver status</w:t>
            </w:r>
          </w:p>
        </w:tc>
        <w:tc>
          <w:tcPr>
            <w:tcW w:type="dxa" w:w="5112"/>
            <w:vAlign w:val="top"/>
          </w:tcPr>
          <w:p>
            <w:r>
              <w:t>Where driver has not been formally identified and a valid Schedule 4 failure exists, keeper liability cannot be transferred under Schedule 4.</w:t>
            </w:r>
          </w:p>
        </w:tc>
      </w:tr>
      <w:tr>
        <w:tc>
          <w:tcPr>
            <w:tcW w:type="dxa" w:w="5112"/>
            <w:vAlign w:val="top"/>
          </w:tcPr>
          <w:p>
            <w:r>
              <w:t>Hire vehicles</w:t>
            </w:r>
          </w:p>
        </w:tc>
        <w:tc>
          <w:tcPr>
            <w:tcW w:type="dxa" w:w="5112"/>
            <w:vAlign w:val="top"/>
          </w:tcPr>
          <w:p>
            <w:r>
              <w:t>Do not treat a hire/company case as an ordinary keeper case. Create a dedicated route before production use.</w:t>
            </w:r>
          </w:p>
        </w:tc>
      </w:tr>
    </w:tbl>
    <w:p/>
    <w:p>
      <w:r>
        <w:t>Important drafting rule: the safe conclusion is normally that the operator has not established a right to recover the charge from the keeper under Schedule 4. Do not automatically state that the parking charge itself is void.</w:t>
      </w:r>
    </w:p>
    <w:p>
      <w:pPr>
        <w:pStyle w:val="Heading1"/>
      </w:pPr>
      <w:r>
        <w:t>4. Current Industry Code</w:t>
      </w:r>
    </w:p>
    <w:p>
      <w:r>
        <w:t>As at September 2026, the BPA states that the private parking sector Single Code of Practice is current version 1.1, published 13 April 2026, with version 1.1 having effect from 17 February 2025. The BPA also publishes transition information and earlier versions for earlier events.</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rPr>
                <w:b/>
              </w:rPr>
              <w:t>Date/event</w:t>
            </w:r>
          </w:p>
        </w:tc>
        <w:tc>
          <w:tcPr>
            <w:tcW w:type="dxa" w:w="5112"/>
            <w:shd w:fill="E7E6E6"/>
          </w:tcPr>
          <w:p>
            <w:r>
              <w:rPr>
                <w:b/>
              </w:rPr>
              <w:t>Version handling</w:t>
            </w:r>
          </w:p>
        </w:tc>
      </w:tr>
      <w:tr>
        <w:tc>
          <w:tcPr>
            <w:tcW w:type="dxa" w:w="5112"/>
            <w:vAlign w:val="top"/>
          </w:tcPr>
          <w:p>
            <w:r>
              <w:t>Issues before 1 February 2024</w:t>
            </w:r>
          </w:p>
        </w:tc>
        <w:tc>
          <w:tcPr>
            <w:tcW w:type="dxa" w:w="5112"/>
            <w:vAlign w:val="top"/>
          </w:tcPr>
          <w:p>
            <w:r>
              <w:t>Check the earlier applicable ATA Code rather than applying the Single Code retrospectively.</w:t>
            </w:r>
          </w:p>
        </w:tc>
      </w:tr>
      <w:tr>
        <w:tc>
          <w:tcPr>
            <w:tcW w:type="dxa" w:w="5112"/>
            <w:vAlign w:val="top"/>
          </w:tcPr>
          <w:p>
            <w:r>
              <w:t>1 February 2024 to before 1 October 2024</w:t>
            </w:r>
          </w:p>
        </w:tc>
        <w:tc>
          <w:tcPr>
            <w:tcW w:type="dxa" w:w="5112"/>
            <w:vAlign w:val="top"/>
          </w:tcPr>
          <w:p>
            <w:r>
              <w:t>BPA states its Version 9 applies to BPA non-compliance issues in that period.</w:t>
            </w:r>
          </w:p>
        </w:tc>
      </w:tr>
      <w:tr>
        <w:tc>
          <w:tcPr>
            <w:tcW w:type="dxa" w:w="5112"/>
            <w:vAlign w:val="top"/>
          </w:tcPr>
          <w:p>
            <w:r>
              <w:t>1 October 2024 to before 17 February 2025</w:t>
            </w:r>
          </w:p>
        </w:tc>
        <w:tc>
          <w:tcPr>
            <w:tcW w:type="dxa" w:w="5112"/>
            <w:vAlign w:val="top"/>
          </w:tcPr>
          <w:p>
            <w:r>
              <w:t>Single Code Version 1 applies, subject to transition provisions.</w:t>
            </w:r>
          </w:p>
        </w:tc>
      </w:tr>
      <w:tr>
        <w:tc>
          <w:tcPr>
            <w:tcW w:type="dxa" w:w="5112"/>
            <w:vAlign w:val="top"/>
          </w:tcPr>
          <w:p>
            <w:r>
              <w:t>17 February 2025 onward</w:t>
            </w:r>
          </w:p>
        </w:tc>
        <w:tc>
          <w:tcPr>
            <w:tcW w:type="dxa" w:w="5112"/>
            <w:vAlign w:val="top"/>
          </w:tcPr>
          <w:p>
            <w:r>
              <w:t>Single Code Version 1.1 applies, subject to transition provisions and later updates.</w:t>
            </w:r>
          </w:p>
        </w:tc>
      </w:tr>
      <w:tr>
        <w:tc>
          <w:tcPr>
            <w:tcW w:type="dxa" w:w="5112"/>
            <w:vAlign w:val="top"/>
          </w:tcPr>
          <w:p>
            <w:r>
              <w:t>13 April 2026 publication update</w:t>
            </w:r>
          </w:p>
        </w:tc>
        <w:tc>
          <w:tcPr>
            <w:tcW w:type="dxa" w:w="5112"/>
            <w:vAlign w:val="top"/>
          </w:tcPr>
          <w:p>
            <w:r>
              <w:t>BPA records publication/foreword update concerning signage transition alignment.</w:t>
            </w:r>
          </w:p>
        </w:tc>
      </w:tr>
    </w:tbl>
    <w:p/>
    <w:p>
      <w:r>
        <w:t>Official BPA page: https://www.britishparking.co.uk/Code-of-Practice-and-Compliance-Monitoring/Parking-News-Online</w:t>
      </w:r>
    </w:p>
    <w:p>
      <w:r>
        <w:t>Current sector Code PDF: https://www.britishparking.co.uk/write/Documents/AOS/Sector%20Code%20Templates/sectorsingleCodeofPracticeVersion1.1130225.pdf</w:t>
      </w:r>
    </w:p>
    <w:p>
      <w:r>
        <w:t>Developer requirement: store Code provisions as versioned records with effective_from, effective_to, transition_status, operator/ATA applicability and source URL. Never hard-code a grace/consideration/keying rule without that metadata.</w:t>
      </w:r>
    </w:p>
    <w:p>
      <w:pPr>
        <w:pStyle w:val="Heading1"/>
      </w:pPr>
      <w:r>
        <w:t>5. Government Statutory Code Status</w:t>
      </w:r>
    </w:p>
    <w:p>
      <w:r>
        <w:t>The government Code must not be described by the AI as already in force unless the source register is updated after formal publication/commencement. The 2025 MHCLG consultation was a consultation before preparing a new government Code. The government consultation page remains the authoritative status source for this project.</w:t>
      </w:r>
    </w:p>
    <w:p>
      <w:r>
        <w:t>https://www.gov.uk/government/consultations/private-parking-code-of-practice</w:t>
      </w:r>
    </w:p>
    <w:p>
      <w:r>
        <w:t>The withdrawn February 2022 government Code may be useful historical/policy context but must be tagged WITHDRAWN and must not be cited as current binding requirements.</w:t>
      </w:r>
    </w:p>
    <w:p>
      <w:pPr>
        <w:pStyle w:val="Heading1"/>
      </w:pPr>
      <w:r>
        <w:t>6. Consumer Contract Law / ParkingEye v Beavis</w:t>
      </w:r>
    </w:p>
    <w:p>
      <w:r>
        <w:t>ParkingEye Ltd v Beavis [2015] UKSC 67 is the leading Supreme Court authority on a private parking charge in its particular factual setting. It means the generator must not use the old generic 'the charge is an unenforceable penalty because it is not a genuine pre-estimate of loss' argument. The decision does not make every parking charge enforceable regardless of signage, authority, contract formation, statutory keeper liability or the facts.</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rPr>
                <w:b/>
              </w:rPr>
              <w:t>AI may use</w:t>
            </w:r>
          </w:p>
        </w:tc>
        <w:tc>
          <w:tcPr>
            <w:tcW w:type="dxa" w:w="5112"/>
            <w:shd w:fill="E7E6E6"/>
          </w:tcPr>
          <w:p>
            <w:r>
              <w:rPr>
                <w:b/>
              </w:rPr>
              <w:t>AI must not say</w:t>
            </w:r>
          </w:p>
        </w:tc>
      </w:tr>
      <w:tr>
        <w:tc>
          <w:tcPr>
            <w:tcW w:type="dxa" w:w="5112"/>
            <w:vAlign w:val="top"/>
          </w:tcPr>
          <w:p>
            <w:r>
              <w:t>Beavis confirms a parking charge can be commercially justified and enforceable in an appropriate consumer parking scheme.</w:t>
            </w:r>
          </w:p>
        </w:tc>
        <w:tc>
          <w:tcPr>
            <w:tcW w:type="dxa" w:w="5112"/>
            <w:vAlign w:val="top"/>
          </w:tcPr>
          <w:p>
            <w:r>
              <w:t>Every £100 private parking charge is automatically valid.</w:t>
            </w:r>
          </w:p>
        </w:tc>
      </w:tr>
      <w:tr>
        <w:tc>
          <w:tcPr>
            <w:tcW w:type="dxa" w:w="5112"/>
            <w:vAlign w:val="top"/>
          </w:tcPr>
          <w:p>
            <w:r>
              <w:t>The prominence of the charge/signage and the legitimate interest in the scheme were important to the Supreme Court's analysis.</w:t>
            </w:r>
          </w:p>
        </w:tc>
        <w:tc>
          <w:tcPr>
            <w:tcW w:type="dxa" w:w="5112"/>
            <w:vAlign w:val="top"/>
          </w:tcPr>
          <w:p>
            <w:r>
              <w:t>Beavis eliminates all signage/fairness/contract arguments.</w:t>
            </w:r>
          </w:p>
        </w:tc>
      </w:tr>
      <w:tr>
        <w:tc>
          <w:tcPr>
            <w:tcW w:type="dxa" w:w="5112"/>
            <w:vAlign w:val="top"/>
          </w:tcPr>
          <w:p>
            <w:r>
              <w:t>Fact-specific distinctions may matter.</w:t>
            </w:r>
          </w:p>
        </w:tc>
        <w:tc>
          <w:tcPr>
            <w:tcW w:type="dxa" w:w="5112"/>
            <w:vAlign w:val="top"/>
          </w:tcPr>
          <w:p>
            <w:r>
              <w:t>The charge must equal the operator's financial loss.</w:t>
            </w:r>
          </w:p>
        </w:tc>
      </w:tr>
    </w:tbl>
    <w:p/>
    <w:p>
      <w:r>
        <w:t>Official Supreme Court case page: https://www.supremecourt.uk/cases/ukSC-2015-0116</w:t>
      </w:r>
    </w:p>
    <w:p>
      <w:pPr>
        <w:pStyle w:val="Heading1"/>
      </w:pPr>
      <w:r>
        <w:t>7. Residential Rights / Primacy / Derogation from Grant</w:t>
      </w:r>
    </w:p>
    <w:p>
      <w:r>
        <w:t>The primary evidence in a residential case is the actual lease, tenancy, parking grant, title/plan and any valid regulations. The AI must analyse those documents before using labels such as 'primacy of contract' or 'unfettered right'.</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rPr>
                <w:b/>
              </w:rPr>
              <w:t>Authority / principle</w:t>
            </w:r>
          </w:p>
        </w:tc>
        <w:tc>
          <w:tcPr>
            <w:tcW w:type="dxa" w:w="5112"/>
            <w:shd w:fill="E7E6E6"/>
          </w:tcPr>
          <w:p>
            <w:r>
              <w:rPr>
                <w:b/>
              </w:rPr>
              <w:t>Permitted use</w:t>
            </w:r>
          </w:p>
        </w:tc>
      </w:tr>
      <w:tr>
        <w:tc>
          <w:tcPr>
            <w:tcW w:type="dxa" w:w="5112"/>
            <w:vAlign w:val="top"/>
          </w:tcPr>
          <w:p>
            <w:r>
              <w:t>Saeed v Plustrade Ltd [2001] EWCA Civ 2011</w:t>
            </w:r>
          </w:p>
        </w:tc>
        <w:tc>
          <w:tcPr>
            <w:tcW w:type="dxa" w:w="5112"/>
            <w:vAlign w:val="top"/>
          </w:tcPr>
          <w:p>
            <w:r>
              <w:t>Court of Appeal authority demonstrating that an express parking right can be protected against substantial interference and applying the principle that a grantor must not derogate from its grant. Use only where the appellant's actual instrument grants a relevant parking right.</w:t>
            </w:r>
          </w:p>
        </w:tc>
      </w:tr>
      <w:tr>
        <w:tc>
          <w:tcPr>
            <w:tcW w:type="dxa" w:w="5112"/>
            <w:vAlign w:val="top"/>
          </w:tcPr>
          <w:p>
            <w:r>
              <w:t>Derogation from grant</w:t>
            </w:r>
          </w:p>
        </w:tc>
        <w:tc>
          <w:tcPr>
            <w:tcW w:type="dxa" w:w="5112"/>
            <w:vAlign w:val="top"/>
          </w:tcPr>
          <w:p>
            <w:r>
              <w:t>Where a landlord/grantor has conferred a benefit, later conduct cannot substantially deprive the grantee of that benefit. Application depends on the actual grant and degree of interference.</w:t>
            </w:r>
          </w:p>
        </w:tc>
      </w:tr>
      <w:tr>
        <w:tc>
          <w:tcPr>
            <w:tcW w:type="dxa" w:w="5112"/>
            <w:vAlign w:val="top"/>
          </w:tcPr>
          <w:p>
            <w:r>
              <w:t>Quiet enjoyment</w:t>
            </w:r>
          </w:p>
        </w:tc>
        <w:tc>
          <w:tcPr>
            <w:tcW w:type="dxa" w:w="5112"/>
            <w:vAlign w:val="top"/>
          </w:tcPr>
          <w:p>
            <w:r>
              <w:t>Potentially relevant where the lease/tenancy and facts support substantial interference, but not a universal immunity from parking regulation.</w:t>
            </w:r>
          </w:p>
        </w:tc>
      </w:tr>
      <w:tr>
        <w:tc>
          <w:tcPr>
            <w:tcW w:type="dxa" w:w="5112"/>
            <w:vAlign w:val="top"/>
          </w:tcPr>
          <w:p>
            <w:r>
              <w:t>Jopson v Homeguard Services Ltd, B9GF0A9E (Oxford County Court appeal, 2016)</w:t>
            </w:r>
          </w:p>
        </w:tc>
        <w:tc>
          <w:tcPr>
            <w:tcW w:type="dxa" w:w="5112"/>
            <w:vAlign w:val="top"/>
          </w:tcPr>
          <w:p>
            <w:r>
              <w:t>Potential persuasive authority concerning the distinction between parking and brief stopping/loading in a residential context. Do not present as binding Court of Appeal authority; use only if verified transcript is stored/enabled.</w:t>
            </w:r>
          </w:p>
        </w:tc>
      </w:tr>
    </w:tbl>
    <w:p/>
    <w:p>
      <w:r>
        <w:t>Saeed judgment: https://www.bailii.org/ew/cases/EWCA/Civ/2001/2011.html</w:t>
      </w:r>
    </w:p>
    <w:p>
      <w:pPr>
        <w:pStyle w:val="Heading1"/>
      </w:pPr>
      <w:r>
        <w:t>8. Breakdown / Emergency / Frustration</w:t>
      </w:r>
    </w:p>
    <w:p>
      <w:r>
        <w:t>Breakdown should have two separate knowledge routes: (A) current Code/Appeals Charter treatment of evidenced emergencies/breakdown where applicable; and (B) contract-law frustration/impossibility analysis where the facts genuinely show a supervening event prevented performance. The system must not equate every mechanical issue with automatic frustration.</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rPr>
                <w:b/>
              </w:rPr>
              <w:t>Route</w:t>
            </w:r>
          </w:p>
        </w:tc>
        <w:tc>
          <w:tcPr>
            <w:tcW w:type="dxa" w:w="5112"/>
            <w:shd w:fill="E7E6E6"/>
          </w:tcPr>
          <w:p>
            <w:r>
              <w:rPr>
                <w:b/>
              </w:rPr>
              <w:t>AI test</w:t>
            </w:r>
          </w:p>
        </w:tc>
      </w:tr>
      <w:tr>
        <w:tc>
          <w:tcPr>
            <w:tcW w:type="dxa" w:w="5112"/>
            <w:vAlign w:val="top"/>
          </w:tcPr>
          <w:p>
            <w:r>
              <w:t>Appeals Charter / Code</w:t>
            </w:r>
          </w:p>
        </w:tc>
        <w:tc>
          <w:tcPr>
            <w:tcW w:type="dxa" w:w="5112"/>
            <w:vAlign w:val="top"/>
          </w:tcPr>
          <w:p>
            <w:r>
              <w:t>Is evidenced breakdown/emergency a cancellation/exemption category under the applicable current industry Code for this event/operator? If yes, this may be the strongest and simplest initial-appeal route.</w:t>
            </w:r>
          </w:p>
        </w:tc>
      </w:tr>
      <w:tr>
        <w:tc>
          <w:tcPr>
            <w:tcW w:type="dxa" w:w="5112"/>
            <w:vAlign w:val="top"/>
          </w:tcPr>
          <w:p>
            <w:r>
              <w:t>Contract frustration/impossibility</w:t>
            </w:r>
          </w:p>
        </w:tc>
        <w:tc>
          <w:tcPr>
            <w:tcW w:type="dxa" w:w="5112"/>
            <w:vAlign w:val="top"/>
          </w:tcPr>
          <w:p>
            <w:r>
              <w:t>Was there an unforeseen event outside control, occurring after any contract was formed, which made the relevant obligation impossible or radically different? Apply cautiously and fact-specifically.</w:t>
            </w:r>
          </w:p>
        </w:tc>
      </w:tr>
      <w:tr>
        <w:tc>
          <w:tcPr>
            <w:tcW w:type="dxa" w:w="5112"/>
            <w:vAlign w:val="top"/>
          </w:tcPr>
          <w:p>
            <w:r>
              <w:t>Not parking / temporary vicissitude</w:t>
            </w:r>
          </w:p>
        </w:tc>
        <w:tc>
          <w:tcPr>
            <w:tcW w:type="dxa" w:w="5112"/>
            <w:vAlign w:val="top"/>
          </w:tcPr>
          <w:p>
            <w:r>
              <w:t>Where the issue is brief stopping for a puncture, loading or similar, a separately verified persuasive authority may assist; do not collapse this into frustration.</w:t>
            </w:r>
          </w:p>
        </w:tc>
      </w:tr>
    </w:tbl>
    <w:p/>
    <w:p>
      <w:r>
        <w:t>The CMA's July 2026 consumer material states that a charge should be cancelled where evidence shows an applicable exemption, giving an emergency outside the motorist's control as an example, and refers to the existing industry's Appeals Charter.</w:t>
      </w:r>
    </w:p>
    <w:p>
      <w:r>
        <w:t>CMA: https://www.gov.uk/government/news/parking-charges-cma-takes-action-to-drive-improvements-for-motorists</w:t>
      </w:r>
    </w:p>
    <w:p>
      <w:pPr>
        <w:pStyle w:val="Heading1"/>
      </w:pPr>
      <w:r>
        <w:t>9. CMA 2026 Consumer-Law Developments</w:t>
      </w:r>
    </w:p>
    <w:p>
      <w:r>
        <w:t>On 16 July 2026 the CMA announced sector action, recommendations to government and an investigation into Euro Car Parks. The investigation is open; no infringement finding should be inferred from the fact of investigation.</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rPr>
                <w:b/>
              </w:rPr>
              <w:t>Source</w:t>
            </w:r>
          </w:p>
        </w:tc>
        <w:tc>
          <w:tcPr>
            <w:tcW w:type="dxa" w:w="5112"/>
            <w:shd w:fill="E7E6E6"/>
          </w:tcPr>
          <w:p>
            <w:r>
              <w:rPr>
                <w:b/>
              </w:rPr>
              <w:t>System use</w:t>
            </w:r>
          </w:p>
        </w:tc>
      </w:tr>
      <w:tr>
        <w:tc>
          <w:tcPr>
            <w:tcW w:type="dxa" w:w="5112"/>
            <w:vAlign w:val="top"/>
          </w:tcPr>
          <w:p>
            <w:r>
              <w:t>CMA letter to government - 16 July 2026</w:t>
            </w:r>
          </w:p>
        </w:tc>
        <w:tc>
          <w:tcPr>
            <w:tcW w:type="dxa" w:w="5112"/>
            <w:vAlign w:val="top"/>
          </w:tcPr>
          <w:p>
            <w:r>
              <w:t>Regulatory recommendations/context; not itself a court judgment.</w:t>
            </w:r>
          </w:p>
        </w:tc>
      </w:tr>
      <w:tr>
        <w:tc>
          <w:tcPr>
            <w:tcW w:type="dxa" w:w="5112"/>
            <w:vAlign w:val="top"/>
          </w:tcPr>
          <w:p>
            <w:r>
              <w:t>CMA private parking press release - 16 July 2026</w:t>
            </w:r>
          </w:p>
        </w:tc>
        <w:tc>
          <w:tcPr>
            <w:tcW w:type="dxa" w:w="5112"/>
            <w:vAlign w:val="top"/>
          </w:tcPr>
          <w:p>
            <w:r>
              <w:t>Current consumer-facing statements on appeals, emergencies and keying errors; useful for policy/context.</w:t>
            </w:r>
          </w:p>
        </w:tc>
      </w:tr>
      <w:tr>
        <w:tc>
          <w:tcPr>
            <w:tcW w:type="dxa" w:w="5112"/>
            <w:vAlign w:val="top"/>
          </w:tcPr>
          <w:p>
            <w:r>
              <w:t>Euro Car Parks consumer protection investigation</w:t>
            </w:r>
          </w:p>
        </w:tc>
        <w:tc>
          <w:tcPr>
            <w:tcW w:type="dxa" w:w="5112"/>
            <w:vAlign w:val="top"/>
          </w:tcPr>
          <w:p>
            <w:r>
              <w:t>Open investigation only. Never say ECP has been found to breach consumer law unless/until an official finding says so.</w:t>
            </w:r>
          </w:p>
        </w:tc>
      </w:tr>
      <w:tr>
        <w:tc>
          <w:tcPr>
            <w:tcW w:type="dxa" w:w="5112"/>
            <w:vAlign w:val="top"/>
          </w:tcPr>
          <w:p>
            <w:r>
              <w:t>Updated CMA37 unfair contract terms guidance - 22 July 2026</w:t>
            </w:r>
          </w:p>
        </w:tc>
        <w:tc>
          <w:tcPr>
            <w:tcW w:type="dxa" w:w="5112"/>
            <w:vAlign w:val="top"/>
          </w:tcPr>
          <w:p>
            <w:r>
              <w:t>Current CMA guidance on fairness/transparency under the Consumer Rights Act 2015.</w:t>
            </w:r>
          </w:p>
        </w:tc>
      </w:tr>
    </w:tbl>
    <w:p/>
    <w:p>
      <w:r>
        <w:t>https://www.gov.uk/government/publications/cma-letter-to-government-in-relation-to-private-parking</w:t>
      </w:r>
    </w:p>
    <w:p>
      <w:r>
        <w:t>https://www.gov.uk/cma-cases/euro-car-parks-consumer-protection-enforcement-case</w:t>
      </w:r>
    </w:p>
    <w:p>
      <w:r>
        <w:t>https://www.gov.uk/government/publications/unfair-contract-terms-cma37</w:t>
      </w:r>
    </w:p>
    <w:p>
      <w:pPr>
        <w:pStyle w:val="Heading1"/>
      </w:pPr>
      <w:r>
        <w:t>10. Equality Act 2010</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rPr>
                <w:b/>
              </w:rPr>
              <w:t>Question</w:t>
            </w:r>
          </w:p>
        </w:tc>
        <w:tc>
          <w:tcPr>
            <w:tcW w:type="dxa" w:w="5112"/>
            <w:shd w:fill="E7E6E6"/>
          </w:tcPr>
          <w:p>
            <w:r>
              <w:rPr>
                <w:b/>
              </w:rPr>
              <w:t>Required approach</w:t>
            </w:r>
          </w:p>
        </w:tc>
      </w:tr>
      <w:tr>
        <w:tc>
          <w:tcPr>
            <w:tcW w:type="dxa" w:w="5112"/>
            <w:vAlign w:val="top"/>
          </w:tcPr>
          <w:p>
            <w:r>
              <w:t>Is a disabled person placed at a substantial disadvantage by a provision/practice or physical feature?</w:t>
            </w:r>
          </w:p>
        </w:tc>
        <w:tc>
          <w:tcPr>
            <w:tcW w:type="dxa" w:w="5112"/>
            <w:vAlign w:val="top"/>
          </w:tcPr>
          <w:p>
            <w:r>
              <w:t>If supported, assess the reasonable-adjustment duty; do not assume a badge is required to trigger the Act.</w:t>
            </w:r>
          </w:p>
        </w:tc>
      </w:tr>
      <w:tr>
        <w:tc>
          <w:tcPr>
            <w:tcW w:type="dxa" w:w="5112"/>
            <w:vAlign w:val="top"/>
          </w:tcPr>
          <w:p>
            <w:r>
              <w:t>Was extra time needed because of disability-related circumstances?</w:t>
            </w:r>
          </w:p>
        </w:tc>
        <w:tc>
          <w:tcPr>
            <w:tcW w:type="dxa" w:w="5112"/>
            <w:vAlign w:val="top"/>
          </w:tcPr>
          <w:p>
            <w:r>
              <w:t>Consider additional time as a possible reasonable adjustment and avoid relying solely on automated timestamps.</w:t>
            </w:r>
          </w:p>
        </w:tc>
      </w:tr>
      <w:tr>
        <w:tc>
          <w:tcPr>
            <w:tcW w:type="dxa" w:w="5112"/>
            <w:vAlign w:val="top"/>
          </w:tcPr>
          <w:p>
            <w:r>
              <w:t>What evidence is necessary?</w:t>
            </w:r>
          </w:p>
        </w:tc>
        <w:tc>
          <w:tcPr>
            <w:tcW w:type="dxa" w:w="5112"/>
            <w:vAlign w:val="top"/>
          </w:tcPr>
          <w:p>
            <w:r>
              <w:t>Request only information needed to establish the functional issue; do not demand excessive medical detail.</w:t>
            </w:r>
          </w:p>
        </w:tc>
      </w:tr>
      <w:tr>
        <w:tc>
          <w:tcPr>
            <w:tcW w:type="dxa" w:w="5112"/>
            <w:vAlign w:val="top"/>
          </w:tcPr>
          <w:p>
            <w:r>
              <w:t>Can the AI promise cancellation?</w:t>
            </w:r>
          </w:p>
        </w:tc>
        <w:tc>
          <w:tcPr>
            <w:tcW w:type="dxa" w:w="5112"/>
            <w:vAlign w:val="top"/>
          </w:tcPr>
          <w:p>
            <w:r>
              <w:t>No. State the relevant duty/adjustment issue and require proper consideration; outcome depends on facts and law.</w:t>
            </w:r>
          </w:p>
        </w:tc>
      </w:tr>
    </w:tbl>
    <w:p/>
    <w:p>
      <w:r>
        <w:t>Official legislation: https://www.legislation.gov.uk/ukpga/2010/15/contents</w:t>
      </w:r>
    </w:p>
    <w:p>
      <w:pPr>
        <w:pStyle w:val="Heading1"/>
      </w:pPr>
      <w:r>
        <w:t>11. Signage / Fairness / Transparency</w:t>
      </w:r>
    </w:p>
    <w:p>
      <w:r>
        <w:t>The generator should analyse contract formation and transparency from the actual signage evidence. Beavis makes prominence important; the Consumer Rights Act 2015 and CMA37 provide the wider consumer-term fairness/transparency framework. The AI must not claim a sign is inadequate merely because the customer says they did not personally read it.</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rPr>
                <w:b/>
              </w:rPr>
              <w:t>Evidence question</w:t>
            </w:r>
          </w:p>
        </w:tc>
        <w:tc>
          <w:tcPr>
            <w:tcW w:type="dxa" w:w="5112"/>
            <w:shd w:fill="E7E6E6"/>
          </w:tcPr>
          <w:p>
            <w:r>
              <w:rPr>
                <w:b/>
              </w:rPr>
              <w:t>AI analysis</w:t>
            </w:r>
          </w:p>
        </w:tc>
      </w:tr>
      <w:tr>
        <w:tc>
          <w:tcPr>
            <w:tcW w:type="dxa" w:w="5112"/>
            <w:vAlign w:val="top"/>
          </w:tcPr>
          <w:p>
            <w:r>
              <w:t>Entrance</w:t>
            </w:r>
          </w:p>
        </w:tc>
        <w:tc>
          <w:tcPr>
            <w:tcW w:type="dxa" w:w="5112"/>
            <w:vAlign w:val="top"/>
          </w:tcPr>
          <w:p>
            <w:r>
              <w:t>Was notice of controlled parking reasonably visible on the route used?</w:t>
            </w:r>
          </w:p>
        </w:tc>
      </w:tr>
      <w:tr>
        <w:tc>
          <w:tcPr>
            <w:tcW w:type="dxa" w:w="5112"/>
            <w:vAlign w:val="top"/>
          </w:tcPr>
          <w:p>
            <w:r>
              <w:t>Relevant term</w:t>
            </w:r>
          </w:p>
        </w:tc>
        <w:tc>
          <w:tcPr>
            <w:tcW w:type="dxa" w:w="5112"/>
            <w:vAlign w:val="top"/>
          </w:tcPr>
          <w:p>
            <w:r>
              <w:t>Was the exact restriction allegedly breached sufficiently prominent/clear?</w:t>
            </w:r>
          </w:p>
        </w:tc>
      </w:tr>
      <w:tr>
        <w:tc>
          <w:tcPr>
            <w:tcW w:type="dxa" w:w="5112"/>
            <w:vAlign w:val="top"/>
          </w:tcPr>
          <w:p>
            <w:r>
              <w:t>Charge</w:t>
            </w:r>
          </w:p>
        </w:tc>
        <w:tc>
          <w:tcPr>
            <w:tcW w:type="dxa" w:w="5112"/>
            <w:vAlign w:val="top"/>
          </w:tcPr>
          <w:p>
            <w:r>
              <w:t>Was the parking charge itself sufficiently prominent in context?</w:t>
            </w:r>
          </w:p>
        </w:tc>
      </w:tr>
      <w:tr>
        <w:tc>
          <w:tcPr>
            <w:tcW w:type="dxa" w:w="5112"/>
            <w:vAlign w:val="top"/>
          </w:tcPr>
          <w:p>
            <w:r>
              <w:t>Lighting/condition</w:t>
            </w:r>
          </w:p>
        </w:tc>
        <w:tc>
          <w:tcPr>
            <w:tcW w:type="dxa" w:w="5112"/>
            <w:vAlign w:val="top"/>
          </w:tcPr>
          <w:p>
            <w:r>
              <w:t>Did material-time conditions affect legibility?</w:t>
            </w:r>
          </w:p>
        </w:tc>
      </w:tr>
      <w:tr>
        <w:tc>
          <w:tcPr>
            <w:tcW w:type="dxa" w:w="5112"/>
            <w:vAlign w:val="top"/>
          </w:tcPr>
          <w:p>
            <w:r>
              <w:t>Conflicts</w:t>
            </w:r>
          </w:p>
        </w:tc>
        <w:tc>
          <w:tcPr>
            <w:tcW w:type="dxa" w:w="5112"/>
            <w:vAlign w:val="top"/>
          </w:tcPr>
          <w:p>
            <w:r>
              <w:t>Did different signs materially conflict?</w:t>
            </w:r>
          </w:p>
        </w:tc>
      </w:tr>
      <w:tr>
        <w:tc>
          <w:tcPr>
            <w:tcW w:type="dxa" w:w="5112"/>
            <w:vAlign w:val="top"/>
          </w:tcPr>
          <w:p>
            <w:r>
              <w:t>Contemporaneous proof</w:t>
            </w:r>
          </w:p>
        </w:tc>
        <w:tc>
          <w:tcPr>
            <w:tcW w:type="dxa" w:w="5112"/>
            <w:vAlign w:val="top"/>
          </w:tcPr>
          <w:p>
            <w:r>
              <w:t>Are operator photos actually from/materially representative of the event date?</w:t>
            </w:r>
          </w:p>
        </w:tc>
      </w:tr>
    </w:tbl>
    <w:p/>
    <w:p>
      <w:pPr>
        <w:pStyle w:val="Heading1"/>
      </w:pPr>
      <w:r>
        <w:t>12. ANPR / Camera Evidence</w:t>
      </w:r>
    </w:p>
    <w:p>
      <w:r>
        <w:t>ANPR evidence is evidence of a vehicle at camera points. The AI should not automatically equate the interval between first entry and final exit with the contractual 'period of parking'. Use consideration, manoeuvring, queueing, multiple visits and actual parking facts where supported.</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rPr>
                <w:b/>
              </w:rPr>
              <w:t>Allowed challenge</w:t>
            </w:r>
          </w:p>
        </w:tc>
        <w:tc>
          <w:tcPr>
            <w:tcW w:type="dxa" w:w="5112"/>
            <w:shd w:fill="E7E6E6"/>
          </w:tcPr>
          <w:p>
            <w:r>
              <w:rPr>
                <w:b/>
              </w:rPr>
              <w:t>Prohibited generic challenge</w:t>
            </w:r>
          </w:p>
        </w:tc>
      </w:tr>
      <w:tr>
        <w:tc>
          <w:tcPr>
            <w:tcW w:type="dxa" w:w="5112"/>
            <w:vAlign w:val="top"/>
          </w:tcPr>
          <w:p>
            <w:r>
              <w:t>Specific missing capture / double visit supported by facts.</w:t>
            </w:r>
          </w:p>
        </w:tc>
        <w:tc>
          <w:tcPr>
            <w:tcW w:type="dxa" w:w="5112"/>
            <w:vAlign w:val="top"/>
          </w:tcPr>
          <w:p>
            <w:r>
              <w:t>'ANPR is unreliable' with no factual basis.</w:t>
            </w:r>
          </w:p>
        </w:tc>
      </w:tr>
      <w:tr>
        <w:tc>
          <w:tcPr>
            <w:tcW w:type="dxa" w:w="5112"/>
            <w:vAlign w:val="top"/>
          </w:tcPr>
          <w:p>
            <w:r>
              <w:t>Specific timestamp or VRM discrepancy visible in evidence.</w:t>
            </w:r>
          </w:p>
        </w:tc>
        <w:tc>
          <w:tcPr>
            <w:tcW w:type="dxa" w:w="5112"/>
            <w:vAlign w:val="top"/>
          </w:tcPr>
          <w:p>
            <w:r>
              <w:t>Demanding calibration records in every appeal regardless of issue.</w:t>
            </w:r>
          </w:p>
        </w:tc>
      </w:tr>
      <w:tr>
        <w:tc>
          <w:tcPr>
            <w:tcW w:type="dxa" w:w="5112"/>
            <w:vAlign w:val="top"/>
          </w:tcPr>
          <w:p>
            <w:r>
              <w:t>Independent evidence showing vehicle elsewhere.</w:t>
            </w:r>
          </w:p>
        </w:tc>
        <w:tc>
          <w:tcPr>
            <w:tcW w:type="dxa" w:w="5112"/>
            <w:vAlign w:val="top"/>
          </w:tcPr>
          <w:p>
            <w:r>
              <w:t>Inventing camera faults.</w:t>
            </w:r>
          </w:p>
        </w:tc>
      </w:tr>
      <w:tr>
        <w:tc>
          <w:tcPr>
            <w:tcW w:type="dxa" w:w="5112"/>
            <w:vAlign w:val="top"/>
          </w:tcPr>
          <w:p>
            <w:r>
              <w:t>Requesting full sequence where multiple visits are credibly alleged.</w:t>
            </w:r>
          </w:p>
        </w:tc>
        <w:tc>
          <w:tcPr>
            <w:tcW w:type="dxa" w:w="5112"/>
            <w:vAlign w:val="top"/>
          </w:tcPr>
          <w:p>
            <w:r>
              <w:t>Claiming every ANPR PCN fails PoFA because timestamps are not parking time.</w:t>
            </w:r>
          </w:p>
        </w:tc>
      </w:tr>
    </w:tbl>
    <w:p/>
    <w:p>
      <w:pPr>
        <w:pStyle w:val="Heading1"/>
      </w:pPr>
      <w:r>
        <w:t>13. Payment / Keying / Machine Failure</w:t>
      </w:r>
    </w:p>
    <w:p>
      <w:r>
        <w:t>The current industry Appeals Charter and CMA 2026 materials make payment/keying issues particularly important. The system should first establish whether tariff was actually paid, what registration was entered, whether the payment can be matched and what current Code outcome applies.</w:t>
      </w:r>
    </w:p>
    <w:p>
      <w:r>
        <w:t>Do not hard-code an outcome from older withdrawn government proposals. The applicable current industry Code record must control the result.</w:t>
      </w:r>
    </w:p>
    <w:p>
      <w:pPr>
        <w:pStyle w:val="Heading1"/>
      </w:pPr>
      <w:r>
        <w:t>14. Landowner Authority</w:t>
      </w:r>
    </w:p>
    <w:p>
      <w:r>
        <w:t>At initial operator appeal, landowner authority should normally be a concise proof/scope issue, not an unsupported assertion that the operator has no contract. Stronger use is justified where the evidence shows a location mismatch, expired authority, material redactions, lack of chain of authority or a residential grant inconsistent with the operator's asserted rights.</w:t>
      </w:r>
    </w:p>
    <w:p>
      <w:pPr>
        <w:pStyle w:val="Heading1"/>
      </w:pPr>
      <w:r>
        <w:t>15. Jurisdiction and Exclusions</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rPr>
                <w:b/>
              </w:rPr>
              <w:t>Issue</w:t>
            </w:r>
          </w:p>
        </w:tc>
        <w:tc>
          <w:tcPr>
            <w:tcW w:type="dxa" w:w="5112"/>
            <w:shd w:fill="E7E6E6"/>
          </w:tcPr>
          <w:p>
            <w:r>
              <w:rPr>
                <w:b/>
              </w:rPr>
              <w:t>Rule</w:t>
            </w:r>
          </w:p>
        </w:tc>
      </w:tr>
      <w:tr>
        <w:tc>
          <w:tcPr>
            <w:tcW w:type="dxa" w:w="5112"/>
            <w:vAlign w:val="top"/>
          </w:tcPr>
          <w:p>
            <w:r>
              <w:t>Scotland</w:t>
            </w:r>
          </w:p>
        </w:tc>
        <w:tc>
          <w:tcPr>
            <w:tcW w:type="dxa" w:w="5112"/>
            <w:vAlign w:val="top"/>
          </w:tcPr>
          <w:p>
            <w:r>
              <w:t>PoFA Schedule 4 keeper-liability route is not to be applied as though England/Wales law automatically governs. Separate jurisdiction logic is required.</w:t>
            </w:r>
          </w:p>
        </w:tc>
      </w:tr>
      <w:tr>
        <w:tc>
          <w:tcPr>
            <w:tcW w:type="dxa" w:w="5112"/>
            <w:vAlign w:val="top"/>
          </w:tcPr>
          <w:p>
            <w:r>
              <w:t>Byelaw land / statutory regimes</w:t>
            </w:r>
          </w:p>
        </w:tc>
        <w:tc>
          <w:tcPr>
            <w:tcW w:type="dxa" w:w="5112"/>
            <w:vAlign w:val="top"/>
          </w:tcPr>
          <w:p>
            <w:r>
              <w:t>Flag for specialist route; do not assume Schedule 4 relevant land or ordinary contract analysis.</w:t>
            </w:r>
          </w:p>
        </w:tc>
      </w:tr>
      <w:tr>
        <w:tc>
          <w:tcPr>
            <w:tcW w:type="dxa" w:w="5112"/>
            <w:vAlign w:val="top"/>
          </w:tcPr>
          <w:p>
            <w:r>
              <w:t>Council/local-authority PCNs</w:t>
            </w:r>
          </w:p>
        </w:tc>
        <w:tc>
          <w:tcPr>
            <w:tcW w:type="dxa" w:w="5112"/>
            <w:vAlign w:val="top"/>
          </w:tcPr>
          <w:p>
            <w:r>
              <w:t>Out of scope. Do not use private parking knowledge base.</w:t>
            </w:r>
          </w:p>
        </w:tc>
      </w:tr>
      <w:tr>
        <w:tc>
          <w:tcPr>
            <w:tcW w:type="dxa" w:w="5112"/>
            <w:vAlign w:val="top"/>
          </w:tcPr>
          <w:p>
            <w:r>
              <w:t>Debt recovery / Letter of Claim / County Court</w:t>
            </w:r>
          </w:p>
        </w:tc>
        <w:tc>
          <w:tcPr>
            <w:tcW w:type="dxa" w:w="5112"/>
            <w:vAlign w:val="top"/>
          </w:tcPr>
          <w:p>
            <w:r>
              <w:t>Out of scope for this initial operator appeal build.</w:t>
            </w:r>
          </w:p>
        </w:tc>
      </w:tr>
      <w:tr>
        <w:tc>
          <w:tcPr>
            <w:tcW w:type="dxa" w:w="5112"/>
            <w:vAlign w:val="top"/>
          </w:tcPr>
          <w:p>
            <w:r>
              <w:t>Hire/company vehicles</w:t>
            </w:r>
          </w:p>
        </w:tc>
        <w:tc>
          <w:tcPr>
            <w:tcW w:type="dxa" w:w="5112"/>
            <w:vAlign w:val="top"/>
          </w:tcPr>
          <w:p>
            <w:r>
              <w:t>Require dedicated statutory/contract route before full automation.</w:t>
            </w:r>
          </w:p>
        </w:tc>
      </w:tr>
    </w:tbl>
    <w:p/>
    <w:p>
      <w:pPr>
        <w:pStyle w:val="Heading1"/>
      </w:pPr>
      <w:r>
        <w:t>16. Source Status Flags for Database</w:t>
      </w:r>
    </w:p>
    <w:tbl>
      <w:tblPr>
        <w:tblStyle w:val="TableGrid"/>
        <w:tblW w:type="auto" w:w="0"/>
        <w:jc w:val="center"/>
        <w:tblLook w:firstColumn="1" w:firstRow="1" w:lastColumn="0" w:lastRow="0" w:noHBand="0" w:noVBand="1" w:val="04A0"/>
      </w:tblPr>
      <w:tblGrid>
        <w:gridCol w:w="5112"/>
        <w:gridCol w:w="5112"/>
      </w:tblGrid>
      <w:tr>
        <w:tc>
          <w:tcPr>
            <w:tcW w:type="dxa" w:w="5112"/>
            <w:shd w:fill="E7E6E6"/>
          </w:tcPr>
          <w:p>
            <w:r>
              <w:rPr>
                <w:b/>
              </w:rPr>
              <w:t>Status</w:t>
            </w:r>
          </w:p>
        </w:tc>
        <w:tc>
          <w:tcPr>
            <w:tcW w:type="dxa" w:w="5112"/>
            <w:shd w:fill="E7E6E6"/>
          </w:tcPr>
          <w:p>
            <w:r>
              <w:rPr>
                <w:b/>
              </w:rPr>
              <w:t>Meaning</w:t>
            </w:r>
          </w:p>
        </w:tc>
      </w:tr>
      <w:tr>
        <w:tc>
          <w:tcPr>
            <w:tcW w:type="dxa" w:w="5112"/>
            <w:vAlign w:val="top"/>
          </w:tcPr>
          <w:p>
            <w:r>
              <w:t>BINDING_LEGISLATION</w:t>
            </w:r>
          </w:p>
        </w:tc>
        <w:tc>
          <w:tcPr>
            <w:tcW w:type="dxa" w:w="5112"/>
            <w:vAlign w:val="top"/>
          </w:tcPr>
          <w:p>
            <w:r>
              <w:t>Current statute/regulation.</w:t>
            </w:r>
          </w:p>
        </w:tc>
      </w:tr>
      <w:tr>
        <w:tc>
          <w:tcPr>
            <w:tcW w:type="dxa" w:w="5112"/>
            <w:vAlign w:val="top"/>
          </w:tcPr>
          <w:p>
            <w:r>
              <w:t>BINDING_APPELLATE_CASE</w:t>
            </w:r>
          </w:p>
        </w:tc>
        <w:tc>
          <w:tcPr>
            <w:tcW w:type="dxa" w:w="5112"/>
            <w:vAlign w:val="top"/>
          </w:tcPr>
          <w:p>
            <w:r>
              <w:t>Binding authority for the proposition stored.</w:t>
            </w:r>
          </w:p>
        </w:tc>
      </w:tr>
      <w:tr>
        <w:tc>
          <w:tcPr>
            <w:tcW w:type="dxa" w:w="5112"/>
            <w:vAlign w:val="top"/>
          </w:tcPr>
          <w:p>
            <w:r>
              <w:t>PERSUASIVE_CASE</w:t>
            </w:r>
          </w:p>
        </w:tc>
        <w:tc>
          <w:tcPr>
            <w:tcW w:type="dxa" w:w="5112"/>
            <w:vAlign w:val="top"/>
          </w:tcPr>
          <w:p>
            <w:r>
              <w:t>Lower court / persuasive only.</w:t>
            </w:r>
          </w:p>
        </w:tc>
      </w:tr>
      <w:tr>
        <w:tc>
          <w:tcPr>
            <w:tcW w:type="dxa" w:w="5112"/>
            <w:vAlign w:val="top"/>
          </w:tcPr>
          <w:p>
            <w:r>
              <w:t>INDUSTRY_CODE_CURRENT</w:t>
            </w:r>
          </w:p>
        </w:tc>
        <w:tc>
          <w:tcPr>
            <w:tcW w:type="dxa" w:w="5112"/>
            <w:vAlign w:val="top"/>
          </w:tcPr>
          <w:p>
            <w:r>
              <w:t>Current ATA/sector standard.</w:t>
            </w:r>
          </w:p>
        </w:tc>
      </w:tr>
      <w:tr>
        <w:tc>
          <w:tcPr>
            <w:tcW w:type="dxa" w:w="5112"/>
            <w:vAlign w:val="top"/>
          </w:tcPr>
          <w:p>
            <w:r>
              <w:t>INDUSTRY_CODE_HISTORIC</w:t>
            </w:r>
          </w:p>
        </w:tc>
        <w:tc>
          <w:tcPr>
            <w:tcW w:type="dxa" w:w="5112"/>
            <w:vAlign w:val="top"/>
          </w:tcPr>
          <w:p>
            <w:r>
              <w:t>Historic version used only for matching event dates.</w:t>
            </w:r>
          </w:p>
        </w:tc>
      </w:tr>
      <w:tr>
        <w:tc>
          <w:tcPr>
            <w:tcW w:type="dxa" w:w="5112"/>
            <w:vAlign w:val="top"/>
          </w:tcPr>
          <w:p>
            <w:r>
              <w:t>GOVERNMENT_PROPOSAL</w:t>
            </w:r>
          </w:p>
        </w:tc>
        <w:tc>
          <w:tcPr>
            <w:tcW w:type="dxa" w:w="5112"/>
            <w:vAlign w:val="top"/>
          </w:tcPr>
          <w:p>
            <w:r>
              <w:t>Consultation/proposal; never presented as current law.</w:t>
            </w:r>
          </w:p>
        </w:tc>
      </w:tr>
      <w:tr>
        <w:tc>
          <w:tcPr>
            <w:tcW w:type="dxa" w:w="5112"/>
            <w:vAlign w:val="top"/>
          </w:tcPr>
          <w:p>
            <w:r>
              <w:t>WITHDRAWN</w:t>
            </w:r>
          </w:p>
        </w:tc>
        <w:tc>
          <w:tcPr>
            <w:tcW w:type="dxa" w:w="5112"/>
            <w:vAlign w:val="top"/>
          </w:tcPr>
          <w:p>
            <w:r>
              <w:t>Withdrawn source; historical/context only.</w:t>
            </w:r>
          </w:p>
        </w:tc>
      </w:tr>
      <w:tr>
        <w:tc>
          <w:tcPr>
            <w:tcW w:type="dxa" w:w="5112"/>
            <w:vAlign w:val="top"/>
          </w:tcPr>
          <w:p>
            <w:r>
              <w:t>REGULATOR_GUIDANCE</w:t>
            </w:r>
          </w:p>
        </w:tc>
        <w:tc>
          <w:tcPr>
            <w:tcW w:type="dxa" w:w="5112"/>
            <w:vAlign w:val="top"/>
          </w:tcPr>
          <w:p>
            <w:r>
              <w:t>CMA/government guidance, not legislation.</w:t>
            </w:r>
          </w:p>
        </w:tc>
      </w:tr>
      <w:tr>
        <w:tc>
          <w:tcPr>
            <w:tcW w:type="dxa" w:w="5112"/>
            <w:vAlign w:val="top"/>
          </w:tcPr>
          <w:p>
            <w:r>
              <w:t>OPEN_INVESTIGATION</w:t>
            </w:r>
          </w:p>
        </w:tc>
        <w:tc>
          <w:tcPr>
            <w:tcW w:type="dxa" w:w="5112"/>
            <w:vAlign w:val="top"/>
          </w:tcPr>
          <w:p>
            <w:r>
              <w:t>No finding of breach.</w:t>
            </w:r>
          </w:p>
        </w:tc>
      </w:tr>
    </w:tbl>
    <w:p/>
    <w:p>
      <w:pPr>
        <w:pStyle w:val="Heading1"/>
      </w:pPr>
      <w:r>
        <w:t>17. Mandatory Legal QA</w:t>
      </w:r>
    </w:p>
    <w:p>
      <w:pPr>
        <w:pStyle w:val="ListBullet"/>
      </w:pPr>
      <w:r>
        <w:t>Every generated legal proposition must have a source_id in the internal audit record.</w:t>
      </w:r>
    </w:p>
    <w:p>
      <w:pPr>
        <w:pStyle w:val="ListBullet"/>
      </w:pPr>
      <w:r>
        <w:t>Every source_id must carry jurisdiction, authority level, effective dates and status.</w:t>
      </w:r>
    </w:p>
    <w:p>
      <w:pPr>
        <w:pStyle w:val="ListBullet"/>
      </w:pPr>
      <w:r>
        <w:t>Case law quotations are disabled by default; paraphrase verified propositions unless an administrator has approved a short quotation.</w:t>
      </w:r>
    </w:p>
    <w:p>
      <w:pPr>
        <w:pStyle w:val="ListBullet"/>
      </w:pPr>
      <w:r>
        <w:t>Any source marked WITHDRAWN, GOVERNMENT_PROPOSAL or OPEN_INVESTIGATION must be blocked from wording that describes it as binding/current law.</w:t>
      </w:r>
    </w:p>
    <w:p>
      <w:pPr>
        <w:pStyle w:val="ListBullet"/>
      </w:pPr>
      <w:r>
        <w:t>PoFA failures must be computed from the actual notice route and dates.</w:t>
      </w:r>
    </w:p>
    <w:p>
      <w:pPr>
        <w:pStyle w:val="ListBullet"/>
      </w:pPr>
      <w:r>
        <w:t>Residential rights must be derived from the uploaded instrument, not from resident status alone.</w:t>
      </w:r>
    </w:p>
    <w:p>
      <w:pPr>
        <w:pStyle w:val="ListBullet"/>
      </w:pPr>
      <w:r>
        <w:t>Breakdown must first be checked against the current Code/Appeals Charter; frustration is a separate fact-sensitive legal route.</w:t>
      </w:r>
    </w:p>
    <w:p>
      <w:pPr>
        <w:pStyle w:val="ListBullet"/>
      </w:pPr>
      <w:r>
        <w:t>Before launch and after any Code/legal update, run regression tests against representative keeper, payment, ANPR, residential, breakdown, Equality Act and signage cases.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Private Parking Legal Authority &amp; Source Register V1 -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