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06" w:rsidRDefault="00E84506"/>
    <w:tbl>
      <w:tblPr>
        <w:tblW w:w="5000" w:type="pct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3633"/>
        <w:gridCol w:w="5327"/>
      </w:tblGrid>
      <w:tr w:rsidR="00D83372" w:rsidRPr="00D83372" w:rsidTr="001E7EA2">
        <w:trPr>
          <w:tblHeader/>
          <w:tblCellSpacing w:w="15" w:type="dxa"/>
        </w:trPr>
        <w:tc>
          <w:tcPr>
            <w:tcW w:w="3229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</w:pPr>
            <w:r w:rsidRPr="00D83372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  <w:t>Name</w:t>
            </w:r>
            <w:bookmarkStart w:id="0" w:name="_GoBack"/>
            <w:bookmarkEnd w:id="0"/>
          </w:p>
        </w:tc>
        <w:tc>
          <w:tcPr>
            <w:tcW w:w="360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</w:pPr>
            <w:r w:rsidRPr="00D83372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  <w:t>Injected Dependency</w:t>
            </w:r>
          </w:p>
        </w:tc>
        <w:tc>
          <w:tcPr>
            <w:tcW w:w="7598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</w:pPr>
            <w:r w:rsidRPr="00D83372">
              <w:rPr>
                <w:rFonts w:ascii="Arial" w:eastAsia="Times New Roman" w:hAnsi="Arial" w:cs="Arial"/>
                <w:b/>
                <w:bCs/>
                <w:color w:val="34302D"/>
                <w:sz w:val="24"/>
                <w:szCs w:val="24"/>
              </w:rPr>
              <w:t>Explained in…​</w:t>
            </w:r>
          </w:p>
        </w:tc>
      </w:tr>
      <w:tr w:rsidR="00D83372" w:rsidRPr="00D83372" w:rsidTr="001E7EA2">
        <w:trPr>
          <w:tblCellSpacing w:w="15" w:type="dxa"/>
        </w:trPr>
        <w:tc>
          <w:tcPr>
            <w:tcW w:w="3229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ApplicationContextAware</w:t>
            </w:r>
            <w:proofErr w:type="spellEnd"/>
          </w:p>
        </w:tc>
        <w:tc>
          <w:tcPr>
            <w:tcW w:w="360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Declaring </w:t>
            </w: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ApplicationContext</w:t>
            </w:r>
            <w:proofErr w:type="spellEnd"/>
          </w:p>
        </w:tc>
        <w:tc>
          <w:tcPr>
            <w:tcW w:w="7598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1E7EA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hyperlink r:id="rId4" w:anchor="beans-factory-aware" w:history="1">
              <w:proofErr w:type="spellStart"/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ApplicationContextAware</w:t>
              </w:r>
              <w:proofErr w:type="spellEnd"/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 xml:space="preserve"> and </w:t>
              </w:r>
              <w:proofErr w:type="spellStart"/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BeanNameAware</w:t>
              </w:r>
              <w:proofErr w:type="spellEnd"/>
            </w:hyperlink>
          </w:p>
        </w:tc>
      </w:tr>
      <w:tr w:rsidR="00D83372" w:rsidRPr="00D83372" w:rsidTr="001E7EA2">
        <w:trPr>
          <w:tblCellSpacing w:w="15" w:type="dxa"/>
        </w:trPr>
        <w:tc>
          <w:tcPr>
            <w:tcW w:w="3229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Default="00D83372" w:rsidP="00D83372">
            <w:pPr>
              <w:spacing w:after="0" w:line="240" w:lineRule="auto"/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</w:pP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ApplicationEvent</w:t>
            </w:r>
            <w:proofErr w:type="spellEnd"/>
          </w:p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PublisherAware</w:t>
            </w:r>
            <w:proofErr w:type="spellEnd"/>
          </w:p>
        </w:tc>
        <w:tc>
          <w:tcPr>
            <w:tcW w:w="360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Event publisher of the enclosing </w:t>
            </w: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ApplicationContext</w:t>
            </w:r>
            <w:proofErr w:type="spellEnd"/>
          </w:p>
        </w:tc>
        <w:tc>
          <w:tcPr>
            <w:tcW w:w="7598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1E7EA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hyperlink r:id="rId5" w:anchor="context-introduction" w:history="1"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 xml:space="preserve">Additional capabilities of the </w:t>
              </w:r>
              <w:proofErr w:type="spellStart"/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ApplicationContext</w:t>
              </w:r>
              <w:proofErr w:type="spellEnd"/>
            </w:hyperlink>
          </w:p>
        </w:tc>
      </w:tr>
      <w:tr w:rsidR="00D83372" w:rsidRPr="00D83372" w:rsidTr="001E7EA2">
        <w:trPr>
          <w:tblCellSpacing w:w="15" w:type="dxa"/>
        </w:trPr>
        <w:tc>
          <w:tcPr>
            <w:tcW w:w="3229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BeanClassLoaderAware</w:t>
            </w:r>
            <w:proofErr w:type="spellEnd"/>
          </w:p>
        </w:tc>
        <w:tc>
          <w:tcPr>
            <w:tcW w:w="360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Class loader used to load the bean classes.</w:t>
            </w:r>
          </w:p>
        </w:tc>
        <w:tc>
          <w:tcPr>
            <w:tcW w:w="7598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1E7EA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hyperlink r:id="rId6" w:anchor="beans-factory-class" w:history="1"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Instantiating beans</w:t>
              </w:r>
            </w:hyperlink>
          </w:p>
        </w:tc>
      </w:tr>
      <w:tr w:rsidR="00D83372" w:rsidRPr="00D83372" w:rsidTr="001E7EA2">
        <w:trPr>
          <w:tblCellSpacing w:w="15" w:type="dxa"/>
        </w:trPr>
        <w:tc>
          <w:tcPr>
            <w:tcW w:w="3229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BeanFactoryAware</w:t>
            </w:r>
            <w:proofErr w:type="spellEnd"/>
          </w:p>
        </w:tc>
        <w:tc>
          <w:tcPr>
            <w:tcW w:w="360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Declaring </w:t>
            </w: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BeanFactory</w:t>
            </w:r>
            <w:proofErr w:type="spellEnd"/>
          </w:p>
        </w:tc>
        <w:tc>
          <w:tcPr>
            <w:tcW w:w="7598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1E7EA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hyperlink r:id="rId7" w:anchor="beans-factory-aware" w:history="1">
              <w:proofErr w:type="spellStart"/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ApplicationContextAware</w:t>
              </w:r>
              <w:proofErr w:type="spellEnd"/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 xml:space="preserve"> and </w:t>
              </w:r>
              <w:proofErr w:type="spellStart"/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BeanNameAware</w:t>
              </w:r>
              <w:proofErr w:type="spellEnd"/>
            </w:hyperlink>
          </w:p>
        </w:tc>
      </w:tr>
      <w:tr w:rsidR="00D83372" w:rsidRPr="00D83372" w:rsidTr="001E7EA2">
        <w:trPr>
          <w:tblCellSpacing w:w="15" w:type="dxa"/>
        </w:trPr>
        <w:tc>
          <w:tcPr>
            <w:tcW w:w="3229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BeanNameAware</w:t>
            </w:r>
            <w:proofErr w:type="spellEnd"/>
          </w:p>
        </w:tc>
        <w:tc>
          <w:tcPr>
            <w:tcW w:w="360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Name of the declaring bean</w:t>
            </w:r>
          </w:p>
        </w:tc>
        <w:tc>
          <w:tcPr>
            <w:tcW w:w="7598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1E7EA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hyperlink r:id="rId8" w:anchor="beans-factory-aware" w:history="1">
              <w:proofErr w:type="spellStart"/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ApplicationContextAware</w:t>
              </w:r>
              <w:proofErr w:type="spellEnd"/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 xml:space="preserve"> and </w:t>
              </w:r>
              <w:proofErr w:type="spellStart"/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BeanNameAware</w:t>
              </w:r>
              <w:proofErr w:type="spellEnd"/>
            </w:hyperlink>
          </w:p>
        </w:tc>
      </w:tr>
      <w:tr w:rsidR="00D83372" w:rsidRPr="00D83372" w:rsidTr="001E7EA2">
        <w:trPr>
          <w:tblCellSpacing w:w="15" w:type="dxa"/>
        </w:trPr>
        <w:tc>
          <w:tcPr>
            <w:tcW w:w="3229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BootstrapContextAware</w:t>
            </w:r>
            <w:proofErr w:type="spellEnd"/>
          </w:p>
        </w:tc>
        <w:tc>
          <w:tcPr>
            <w:tcW w:w="360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Resource adapter </w:t>
            </w: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  <w:shd w:val="clear" w:color="auto" w:fill="F7F7F8"/>
              </w:rPr>
              <w:t>BootstrapContext</w:t>
            </w: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the</w:t>
            </w:r>
            <w:proofErr w:type="spellEnd"/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 xml:space="preserve"> container runs in. Typically available only in JCA aware </w:t>
            </w: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  <w:shd w:val="clear" w:color="auto" w:fill="F7F7F8"/>
              </w:rPr>
              <w:t>ApplicationContext</w:t>
            </w: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7598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1E7EA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hyperlink r:id="rId9" w:anchor="cci" w:history="1"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JCA CCI</w:t>
              </w:r>
            </w:hyperlink>
          </w:p>
        </w:tc>
      </w:tr>
      <w:tr w:rsidR="00D83372" w:rsidRPr="00D83372" w:rsidTr="001E7EA2">
        <w:trPr>
          <w:tblCellSpacing w:w="15" w:type="dxa"/>
        </w:trPr>
        <w:tc>
          <w:tcPr>
            <w:tcW w:w="3229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LoadTimeWeaverAware</w:t>
            </w:r>
            <w:proofErr w:type="spellEnd"/>
          </w:p>
        </w:tc>
        <w:tc>
          <w:tcPr>
            <w:tcW w:w="360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Defined </w:t>
            </w:r>
            <w:r w:rsidRPr="00D83372">
              <w:rPr>
                <w:rFonts w:ascii="inherit" w:eastAsia="Times New Roman" w:hAnsi="inherit" w:cs="Arial"/>
                <w:i/>
                <w:iCs/>
                <w:color w:val="34302D"/>
                <w:sz w:val="24"/>
                <w:szCs w:val="24"/>
              </w:rPr>
              <w:t>weaver</w:t>
            </w: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 for processing class definition at load time</w:t>
            </w:r>
          </w:p>
        </w:tc>
        <w:tc>
          <w:tcPr>
            <w:tcW w:w="7598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1E7EA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hyperlink r:id="rId10" w:anchor="aop-aj-ltw" w:history="1"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Load-time weaving with AspectJ in the Spring Framework</w:t>
              </w:r>
            </w:hyperlink>
          </w:p>
        </w:tc>
      </w:tr>
      <w:tr w:rsidR="00D83372" w:rsidRPr="00D83372" w:rsidTr="001E7EA2">
        <w:trPr>
          <w:tblCellSpacing w:w="15" w:type="dxa"/>
        </w:trPr>
        <w:tc>
          <w:tcPr>
            <w:tcW w:w="3229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MessageSourceAware</w:t>
            </w:r>
            <w:proofErr w:type="spellEnd"/>
          </w:p>
        </w:tc>
        <w:tc>
          <w:tcPr>
            <w:tcW w:w="360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Configured strategy for resolving messages (with support for parametrization and internationalization)</w:t>
            </w:r>
          </w:p>
        </w:tc>
        <w:tc>
          <w:tcPr>
            <w:tcW w:w="7598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1E7EA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hyperlink r:id="rId11" w:anchor="context-introduction" w:history="1"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 xml:space="preserve">Additional capabilities of the </w:t>
              </w:r>
              <w:proofErr w:type="spellStart"/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ApplicationContext</w:t>
              </w:r>
              <w:proofErr w:type="spellEnd"/>
            </w:hyperlink>
          </w:p>
        </w:tc>
      </w:tr>
      <w:tr w:rsidR="00D83372" w:rsidRPr="00D83372" w:rsidTr="001E7EA2">
        <w:trPr>
          <w:tblCellSpacing w:w="15" w:type="dxa"/>
        </w:trPr>
        <w:tc>
          <w:tcPr>
            <w:tcW w:w="3229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Default="00D83372" w:rsidP="00D83372">
            <w:pPr>
              <w:spacing w:after="0" w:line="240" w:lineRule="auto"/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</w:pP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NotificationPublisher</w:t>
            </w:r>
            <w:proofErr w:type="spellEnd"/>
          </w:p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Aware</w:t>
            </w:r>
          </w:p>
        </w:tc>
        <w:tc>
          <w:tcPr>
            <w:tcW w:w="360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Spring JMX notification publisher</w:t>
            </w:r>
          </w:p>
        </w:tc>
        <w:tc>
          <w:tcPr>
            <w:tcW w:w="7598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1E7EA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hyperlink r:id="rId12" w:anchor="jmx-notifications" w:history="1"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Notifications</w:t>
              </w:r>
            </w:hyperlink>
          </w:p>
        </w:tc>
      </w:tr>
      <w:tr w:rsidR="00D83372" w:rsidRPr="00D83372" w:rsidTr="001E7EA2">
        <w:trPr>
          <w:tblCellSpacing w:w="15" w:type="dxa"/>
        </w:trPr>
        <w:tc>
          <w:tcPr>
            <w:tcW w:w="3229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ResourceLoaderAware</w:t>
            </w:r>
            <w:proofErr w:type="spellEnd"/>
          </w:p>
        </w:tc>
        <w:tc>
          <w:tcPr>
            <w:tcW w:w="360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Configured loader for low-level access to resources</w:t>
            </w:r>
          </w:p>
        </w:tc>
        <w:tc>
          <w:tcPr>
            <w:tcW w:w="7598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1E7EA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hyperlink r:id="rId13" w:anchor="resources" w:history="1"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Resources</w:t>
              </w:r>
            </w:hyperlink>
          </w:p>
        </w:tc>
      </w:tr>
      <w:tr w:rsidR="00D83372" w:rsidRPr="00D83372" w:rsidTr="001E7EA2">
        <w:trPr>
          <w:tblCellSpacing w:w="15" w:type="dxa"/>
        </w:trPr>
        <w:tc>
          <w:tcPr>
            <w:tcW w:w="3229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ServletConfigAware</w:t>
            </w:r>
            <w:proofErr w:type="spellEnd"/>
          </w:p>
        </w:tc>
        <w:tc>
          <w:tcPr>
            <w:tcW w:w="360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Current </w:t>
            </w: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  <w:shd w:val="clear" w:color="auto" w:fill="F7F7F8"/>
              </w:rPr>
              <w:t>ServletConfig</w:t>
            </w:r>
            <w:proofErr w:type="spellEnd"/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 the container runs in. Valid only in a web-aware Spring </w:t>
            </w: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  <w:shd w:val="clear" w:color="auto" w:fill="F7F7F8"/>
              </w:rPr>
              <w:t>ApplicationContext</w:t>
            </w:r>
            <w:proofErr w:type="spellEnd"/>
          </w:p>
        </w:tc>
        <w:tc>
          <w:tcPr>
            <w:tcW w:w="7598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1E7EA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hyperlink r:id="rId14" w:anchor="mvc" w:history="1"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Spring MVC</w:t>
              </w:r>
            </w:hyperlink>
          </w:p>
        </w:tc>
      </w:tr>
      <w:tr w:rsidR="00D83372" w:rsidRPr="00D83372" w:rsidTr="001E7EA2">
        <w:trPr>
          <w:tblCellSpacing w:w="15" w:type="dxa"/>
        </w:trPr>
        <w:tc>
          <w:tcPr>
            <w:tcW w:w="3229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</w:rPr>
              <w:t>ServletContextAware</w:t>
            </w:r>
            <w:proofErr w:type="spellEnd"/>
          </w:p>
        </w:tc>
        <w:tc>
          <w:tcPr>
            <w:tcW w:w="3603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D8337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Current </w:t>
            </w: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  <w:shd w:val="clear" w:color="auto" w:fill="F7F7F8"/>
              </w:rPr>
              <w:t>ServletContext</w:t>
            </w:r>
            <w:proofErr w:type="spellEnd"/>
            <w:r w:rsidRPr="00D83372">
              <w:rPr>
                <w:rFonts w:ascii="inherit" w:eastAsia="Times New Roman" w:hAnsi="inherit" w:cs="Arial"/>
                <w:color w:val="34302D"/>
                <w:sz w:val="24"/>
                <w:szCs w:val="24"/>
              </w:rPr>
              <w:t> the container runs in. Valid only in a web-aware Spring </w:t>
            </w:r>
            <w:proofErr w:type="spellStart"/>
            <w:r w:rsidRPr="00D83372">
              <w:rPr>
                <w:rFonts w:ascii="Consolas" w:eastAsia="Times New Roman" w:hAnsi="Consolas" w:cs="Courier New"/>
                <w:color w:val="34302D"/>
                <w:sz w:val="23"/>
                <w:szCs w:val="23"/>
                <w:shd w:val="clear" w:color="auto" w:fill="F7F7F8"/>
              </w:rPr>
              <w:t>ApplicationContext</w:t>
            </w:r>
            <w:proofErr w:type="spellEnd"/>
          </w:p>
        </w:tc>
        <w:tc>
          <w:tcPr>
            <w:tcW w:w="7598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83372" w:rsidRPr="00D83372" w:rsidRDefault="001E7EA2" w:rsidP="00D83372">
            <w:pPr>
              <w:spacing w:after="0" w:line="240" w:lineRule="auto"/>
              <w:rPr>
                <w:rFonts w:ascii="inherit" w:eastAsia="Times New Roman" w:hAnsi="inherit" w:cs="Arial"/>
                <w:color w:val="34302D"/>
                <w:sz w:val="24"/>
                <w:szCs w:val="24"/>
              </w:rPr>
            </w:pPr>
            <w:hyperlink r:id="rId15" w:anchor="mvc" w:history="1">
              <w:r w:rsidR="00D83372" w:rsidRPr="00D83372">
                <w:rPr>
                  <w:rFonts w:ascii="inherit" w:eastAsia="Times New Roman" w:hAnsi="inherit" w:cs="Arial"/>
                  <w:color w:val="548E2E"/>
                  <w:sz w:val="24"/>
                  <w:szCs w:val="24"/>
                  <w:u w:val="single"/>
                </w:rPr>
                <w:t>Spring MVC</w:t>
              </w:r>
            </w:hyperlink>
          </w:p>
        </w:tc>
      </w:tr>
    </w:tbl>
    <w:p w:rsidR="00A82527" w:rsidRDefault="00A82527"/>
    <w:p w:rsidR="00206E3E" w:rsidRDefault="00206E3E"/>
    <w:p w:rsidR="00206E3E" w:rsidRDefault="00206E3E"/>
    <w:p w:rsidR="00821EB1" w:rsidRDefault="00821EB1"/>
    <w:p w:rsidR="00821EB1" w:rsidRDefault="00821EB1"/>
    <w:p w:rsidR="00821EB1" w:rsidRDefault="00821EB1"/>
    <w:sectPr w:rsidR="00821EB1" w:rsidSect="00D8337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5A"/>
    <w:rsid w:val="001E7EA2"/>
    <w:rsid w:val="00206E3E"/>
    <w:rsid w:val="00394454"/>
    <w:rsid w:val="006D2C3D"/>
    <w:rsid w:val="00821EB1"/>
    <w:rsid w:val="00A82527"/>
    <w:rsid w:val="00D83372"/>
    <w:rsid w:val="00E3695A"/>
    <w:rsid w:val="00E8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EA243-6F3D-4D81-815C-DD775A07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lock">
    <w:name w:val="tableblock"/>
    <w:basedOn w:val="Normal"/>
    <w:rsid w:val="00D8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33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337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33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5.0.x/spring-framework-reference/core.html" TargetMode="External"/><Relationship Id="rId13" Type="http://schemas.openxmlformats.org/officeDocument/2006/relationships/hyperlink" Target="https://docs.spring.io/spring/docs/5.0.x/spring-framework-reference/cor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spring.io/spring/docs/5.0.x/spring-framework-reference/core.html" TargetMode="External"/><Relationship Id="rId12" Type="http://schemas.openxmlformats.org/officeDocument/2006/relationships/hyperlink" Target="https://docs.spring.io/spring/docs/5.0.x/spring-framework-reference/integration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/docs/5.0.x/spring-framework-reference/core.html" TargetMode="External"/><Relationship Id="rId11" Type="http://schemas.openxmlformats.org/officeDocument/2006/relationships/hyperlink" Target="https://docs.spring.io/spring/docs/5.0.x/spring-framework-reference/core.html" TargetMode="External"/><Relationship Id="rId5" Type="http://schemas.openxmlformats.org/officeDocument/2006/relationships/hyperlink" Target="https://docs.spring.io/spring/docs/5.0.x/spring-framework-reference/core.html" TargetMode="External"/><Relationship Id="rId15" Type="http://schemas.openxmlformats.org/officeDocument/2006/relationships/hyperlink" Target="https://docs.spring.io/spring/docs/5.0.x/spring-framework-reference/web.html" TargetMode="External"/><Relationship Id="rId10" Type="http://schemas.openxmlformats.org/officeDocument/2006/relationships/hyperlink" Target="https://docs.spring.io/spring/docs/5.0.x/spring-framework-reference/core.html" TargetMode="External"/><Relationship Id="rId4" Type="http://schemas.openxmlformats.org/officeDocument/2006/relationships/hyperlink" Target="https://docs.spring.io/spring/docs/5.0.x/spring-framework-reference/core.html" TargetMode="External"/><Relationship Id="rId9" Type="http://schemas.openxmlformats.org/officeDocument/2006/relationships/hyperlink" Target="https://docs.spring.io/spring/docs/5.0.x/spring-framework-reference/integration.html" TargetMode="External"/><Relationship Id="rId14" Type="http://schemas.openxmlformats.org/officeDocument/2006/relationships/hyperlink" Target="https://docs.spring.io/spring/docs/5.0.x/spring-framework-reference/we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Shah</dc:creator>
  <cp:keywords/>
  <dc:description/>
  <cp:lastModifiedBy>Mehul Shah</cp:lastModifiedBy>
  <cp:revision>4</cp:revision>
  <dcterms:created xsi:type="dcterms:W3CDTF">2019-07-30T05:11:00Z</dcterms:created>
  <dcterms:modified xsi:type="dcterms:W3CDTF">2019-08-10T10:12:00Z</dcterms:modified>
</cp:coreProperties>
</file>