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34"/>
        </w:rPr>
        <w:t>川崎病・小児心エコーにおけるZスコア総合マニュアル</w:t>
      </w:r>
    </w:p>
    <w:p>
      <w:pPr>
        <w:spacing w:after="280"/>
        <w:jc w:val="center"/>
      </w:pPr>
      <w:r>
        <w:rPr>
          <w:color w:val="475569"/>
          <w:sz w:val="21"/>
        </w:rPr>
        <w:t>〜冠動脈・心腔計測の臨床的根拠、国内推奨式、および小児科医カンファレンス実践対話ガイド〜</w:t>
      </w:r>
    </w:p>
    <w:p>
      <w:pPr>
        <w:keepNext/>
        <w:spacing w:before="240" w:after="80"/>
      </w:pPr>
      <w:r>
        <w:rPr>
          <w:b/>
          <w:color w:val="1A365D"/>
          <w:sz w:val="24"/>
        </w:rPr>
        <w:t>■ 1. エグゼクティブ・サマリー（結論と推奨式一覧）</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20" w:type="dxa"/>
              <w:right w:w="120" w:type="dxa"/>
            </w:tcMar>
          </w:tcPr>
          <w:p>
            <w:pPr>
              <w:jc w:val="center"/>
            </w:pPr>
            <w:r>
              <w:rPr>
                <w:b/>
                <w:color w:val="FFFFFF"/>
                <w:sz w:val="18"/>
              </w:rPr>
              <w:t>評価対象</w:t>
            </w:r>
          </w:p>
        </w:tc>
        <w:tc>
          <w:tcPr>
            <w:tcW w:type="dxa" w:w="3312"/>
            <w:shd w:fill="1E3A8A"/>
            <w:tcMar>
              <w:top w:w="120" w:type="dxa"/>
              <w:bottom w:w="120" w:type="dxa"/>
              <w:left w:w="120" w:type="dxa"/>
              <w:right w:w="120" w:type="dxa"/>
            </w:tcMar>
          </w:tcPr>
          <w:p>
            <w:pPr>
              <w:jc w:val="center"/>
            </w:pPr>
            <w:r>
              <w:rPr>
                <w:b/>
                <w:color w:val="FFFFFF"/>
                <w:sz w:val="18"/>
              </w:rPr>
              <w:t>国内標準・第一推奨算出式</w:t>
            </w:r>
          </w:p>
        </w:tc>
        <w:tc>
          <w:tcPr>
            <w:tcW w:type="dxa" w:w="2160"/>
            <w:shd w:fill="1E3A8A"/>
            <w:tcMar>
              <w:top w:w="120" w:type="dxa"/>
              <w:bottom w:w="120" w:type="dxa"/>
              <w:left w:w="120" w:type="dxa"/>
              <w:right w:w="120" w:type="dxa"/>
            </w:tcMar>
          </w:tcPr>
          <w:p>
            <w:pPr>
              <w:jc w:val="center"/>
            </w:pPr>
            <w:r>
              <w:rPr>
                <w:b/>
                <w:color w:val="FFFFFF"/>
                <w:sz w:val="18"/>
              </w:rPr>
              <w:t>計測基準手法</w:t>
            </w:r>
          </w:p>
        </w:tc>
        <w:tc>
          <w:tcPr>
            <w:tcW w:type="dxa" w:w="1872"/>
            <w:shd w:fill="1E3A8A"/>
            <w:tcMar>
              <w:top w:w="120" w:type="dxa"/>
              <w:bottom w:w="120" w:type="dxa"/>
              <w:left w:w="120" w:type="dxa"/>
              <w:right w:w="120" w:type="dxa"/>
            </w:tcMar>
          </w:tcPr>
          <w:p>
            <w:pPr>
              <w:jc w:val="center"/>
            </w:pPr>
            <w:r>
              <w:rPr>
                <w:b/>
                <w:color w:val="FFFFFF"/>
                <w:sz w:val="18"/>
              </w:rPr>
              <w:t>国内シェア・位置づけ</w:t>
            </w:r>
          </w:p>
        </w:tc>
      </w:tr>
      <w:tr>
        <w:tc>
          <w:tcPr>
            <w:tcW w:type="dxa" w:w="2592"/>
            <w:shd w:fill="F8FAFC"/>
            <w:tcMar>
              <w:top w:w="80" w:type="dxa"/>
              <w:bottom w:w="80" w:type="dxa"/>
              <w:left w:w="100" w:type="dxa"/>
              <w:right w:w="100" w:type="dxa"/>
            </w:tcMar>
            <w:tcBorders>
              <w:bottom w:val="single" w:sz="4" w:space="0" w:color="E2E8F0"/>
            </w:tcBorders>
          </w:tcPr>
          <w:p>
            <w:r>
              <w:rPr>
                <w:sz w:val="17"/>
              </w:rPr>
              <w:t>川崎病 冠動脈</w:t>
              <w:br/>
              <w:t>(LMCA/LAD/LCx/RCA)</w:t>
            </w:r>
          </w:p>
        </w:tc>
        <w:tc>
          <w:tcPr>
            <w:tcW w:type="dxa" w:w="3312"/>
            <w:shd w:fill="F8FAFC"/>
            <w:tcMar>
              <w:top w:w="80" w:type="dxa"/>
              <w:bottom w:w="80" w:type="dxa"/>
              <w:left w:w="100" w:type="dxa"/>
              <w:right w:w="100" w:type="dxa"/>
            </w:tcMar>
            <w:tcBorders>
              <w:bottom w:val="single" w:sz="4" w:space="0" w:color="E2E8F0"/>
            </w:tcBorders>
          </w:tcPr>
          <w:p>
            <w:r>
              <w:rPr>
                <w:sz w:val="17"/>
              </w:rPr>
              <w:t>Z Score Project 式 (LMS法)</w:t>
              <w:br/>
              <w:t>/ 小林式 (Kobayashi et al.)</w:t>
            </w:r>
          </w:p>
        </w:tc>
        <w:tc>
          <w:tcPr>
            <w:tcW w:type="dxa" w:w="2160"/>
            <w:shd w:fill="F8FAFC"/>
            <w:tcMar>
              <w:top w:w="80" w:type="dxa"/>
              <w:bottom w:w="80" w:type="dxa"/>
              <w:left w:w="100" w:type="dxa"/>
              <w:right w:w="100" w:type="dxa"/>
            </w:tcMar>
            <w:tcBorders>
              <w:bottom w:val="single" w:sz="4" w:space="0" w:color="E2E8F0"/>
            </w:tcBorders>
          </w:tcPr>
          <w:p>
            <w:pPr>
              <w:jc w:val="center"/>
            </w:pPr>
            <w:r>
              <w:rPr>
                <w:sz w:val="17"/>
              </w:rPr>
              <w:t>2D Inner-to-inner</w:t>
              <w:br/>
              <w:t>(拡張末期)</w:t>
            </w:r>
          </w:p>
        </w:tc>
        <w:tc>
          <w:tcPr>
            <w:tcW w:type="dxa" w:w="1872"/>
            <w:shd w:fill="F8FAFC"/>
            <w:tcMar>
              <w:top w:w="80" w:type="dxa"/>
              <w:bottom w:w="80" w:type="dxa"/>
              <w:left w:w="100" w:type="dxa"/>
              <w:right w:w="100" w:type="dxa"/>
            </w:tcMar>
            <w:tcBorders>
              <w:bottom w:val="single" w:sz="4" w:space="0" w:color="E2E8F0"/>
            </w:tcBorders>
          </w:tcPr>
          <w:p>
            <w:pPr>
              <w:jc w:val="center"/>
            </w:pPr>
            <w:r>
              <w:rPr>
                <w:sz w:val="17"/>
              </w:rPr>
              <w:t>国内シェア第1位</w:t>
              <w:br/>
              <w:t>(JSPCCS/川崎病学会推奨)</w:t>
            </w:r>
          </w:p>
        </w:tc>
      </w:tr>
      <w:tr>
        <w:tc>
          <w:tcPr>
            <w:tcW w:type="dxa" w:w="2592"/>
            <w:shd w:fill="FFFFFF"/>
            <w:tcMar>
              <w:top w:w="80" w:type="dxa"/>
              <w:bottom w:w="80" w:type="dxa"/>
              <w:left w:w="100" w:type="dxa"/>
              <w:right w:w="100" w:type="dxa"/>
            </w:tcMar>
            <w:tcBorders>
              <w:bottom w:val="single" w:sz="4" w:space="0" w:color="E2E8F0"/>
            </w:tcBorders>
          </w:tcPr>
          <w:p>
            <w:r>
              <w:rPr>
                <w:sz w:val="17"/>
              </w:rPr>
              <w:t>心腔・基部計測</w:t>
              <w:br/>
              <w:t>(LVDd, LAD, Ao, 弁輪等)</w:t>
            </w:r>
          </w:p>
        </w:tc>
        <w:tc>
          <w:tcPr>
            <w:tcW w:type="dxa" w:w="3312"/>
            <w:shd w:fill="FFFFFF"/>
            <w:tcMar>
              <w:top w:w="80" w:type="dxa"/>
              <w:bottom w:w="80" w:type="dxa"/>
              <w:left w:w="100" w:type="dxa"/>
              <w:right w:w="100" w:type="dxa"/>
            </w:tcMar>
            <w:tcBorders>
              <w:bottom w:val="single" w:sz="4" w:space="0" w:color="E2E8F0"/>
            </w:tcBorders>
          </w:tcPr>
          <w:p>
            <w:r>
              <w:rPr>
                <w:sz w:val="17"/>
              </w:rPr>
              <w:t>Pettersen et al. (JASE 2008)</w:t>
              <w:br/>
              <w:t>(または日本人小児基準)</w:t>
            </w:r>
          </w:p>
        </w:tc>
        <w:tc>
          <w:tcPr>
            <w:tcW w:type="dxa" w:w="2160"/>
            <w:shd w:fill="FFFFFF"/>
            <w:tcMar>
              <w:top w:w="80" w:type="dxa"/>
              <w:bottom w:w="80" w:type="dxa"/>
              <w:left w:w="100" w:type="dxa"/>
              <w:right w:w="100" w:type="dxa"/>
            </w:tcMar>
            <w:tcBorders>
              <w:bottom w:val="single" w:sz="4" w:space="0" w:color="E2E8F0"/>
            </w:tcBorders>
          </w:tcPr>
          <w:p>
            <w:pPr>
              <w:jc w:val="center"/>
            </w:pPr>
            <w:r>
              <w:rPr>
                <w:sz w:val="17"/>
              </w:rPr>
              <w:t>2D Inner-to-inner</w:t>
              <w:br/>
              <w:t>(ASE小児ガイドライン)</w:t>
            </w:r>
          </w:p>
        </w:tc>
        <w:tc>
          <w:tcPr>
            <w:tcW w:type="dxa" w:w="1872"/>
            <w:shd w:fill="FFFFFF"/>
            <w:tcMar>
              <w:top w:w="80" w:type="dxa"/>
              <w:bottom w:w="80" w:type="dxa"/>
              <w:left w:w="100" w:type="dxa"/>
              <w:right w:w="100" w:type="dxa"/>
            </w:tcMar>
            <w:tcBorders>
              <w:bottom w:val="single" w:sz="4" w:space="0" w:color="E2E8F0"/>
            </w:tcBorders>
          </w:tcPr>
          <w:p>
            <w:pPr>
              <w:jc w:val="center"/>
            </w:pPr>
            <w:r>
              <w:rPr>
                <w:sz w:val="17"/>
              </w:rPr>
              <w:t>世界・国内デファクト</w:t>
              <w:br/>
              <w:t>(各社エコー装置標準)</w:t>
            </w:r>
          </w:p>
        </w:tc>
      </w:tr>
      <w:tr>
        <w:tc>
          <w:tcPr>
            <w:tcW w:type="dxa" w:w="2592"/>
            <w:shd w:fill="F8FAFC"/>
            <w:tcMar>
              <w:top w:w="80" w:type="dxa"/>
              <w:bottom w:w="80" w:type="dxa"/>
              <w:left w:w="100" w:type="dxa"/>
              <w:right w:w="100" w:type="dxa"/>
            </w:tcMar>
            <w:tcBorders>
              <w:bottom w:val="single" w:sz="4" w:space="0" w:color="E2E8F0"/>
            </w:tcBorders>
          </w:tcPr>
          <w:p>
            <w:r>
              <w:rPr>
                <w:sz w:val="17"/>
              </w:rPr>
              <w:t>体表面積 (BSA)</w:t>
              <w:br/>
              <w:t>(全Zスコア共通)</w:t>
            </w:r>
          </w:p>
        </w:tc>
        <w:tc>
          <w:tcPr>
            <w:tcW w:type="dxa" w:w="3312"/>
            <w:shd w:fill="F8FAFC"/>
            <w:tcMar>
              <w:top w:w="80" w:type="dxa"/>
              <w:bottom w:w="80" w:type="dxa"/>
              <w:left w:w="100" w:type="dxa"/>
              <w:right w:w="100" w:type="dxa"/>
            </w:tcMar>
            <w:tcBorders>
              <w:bottom w:val="single" w:sz="4" w:space="0" w:color="E2E8F0"/>
            </w:tcBorders>
          </w:tcPr>
          <w:p>
            <w:r>
              <w:rPr>
                <w:sz w:val="17"/>
              </w:rPr>
              <w:t>Haycock 式</w:t>
              <w:br/>
              <w:t>(Ht^0.3964 × Wt^0.5378 × 0.024265)</w:t>
            </w:r>
          </w:p>
        </w:tc>
        <w:tc>
          <w:tcPr>
            <w:tcW w:type="dxa" w:w="2160"/>
            <w:shd w:fill="F8FAFC"/>
            <w:tcMar>
              <w:top w:w="80" w:type="dxa"/>
              <w:bottom w:w="80" w:type="dxa"/>
              <w:left w:w="100" w:type="dxa"/>
              <w:right w:w="100" w:type="dxa"/>
            </w:tcMar>
            <w:tcBorders>
              <w:bottom w:val="single" w:sz="4" w:space="0" w:color="E2E8F0"/>
            </w:tcBorders>
          </w:tcPr>
          <w:p>
            <w:pPr>
              <w:jc w:val="center"/>
            </w:pPr>
            <w:r>
              <w:rPr>
                <w:sz w:val="17"/>
              </w:rPr>
              <w:t>身長・体重実測</w:t>
            </w:r>
          </w:p>
        </w:tc>
        <w:tc>
          <w:tcPr>
            <w:tcW w:type="dxa" w:w="1872"/>
            <w:shd w:fill="F8FAFC"/>
            <w:tcMar>
              <w:top w:w="80" w:type="dxa"/>
              <w:bottom w:w="80" w:type="dxa"/>
              <w:left w:w="100" w:type="dxa"/>
              <w:right w:w="100" w:type="dxa"/>
            </w:tcMar>
            <w:tcBorders>
              <w:bottom w:val="single" w:sz="4" w:space="0" w:color="E2E8F0"/>
            </w:tcBorders>
          </w:tcPr>
          <w:p>
            <w:pPr>
              <w:jc w:val="center"/>
            </w:pPr>
            <w:r>
              <w:rPr>
                <w:sz w:val="17"/>
              </w:rPr>
              <w:t>全式共通の絶対条件</w:t>
              <w:br/>
              <w:t>(DuBois式は乳児で不可)</w:t>
            </w:r>
          </w:p>
        </w:tc>
      </w:tr>
    </w:tbl>
    <w:p>
      <w:pPr>
        <w:keepNext/>
        <w:spacing w:before="240" w:after="80"/>
      </w:pPr>
      <w:r>
        <w:rPr>
          <w:b/>
          <w:color w:val="1A365D"/>
          <w:sz w:val="24"/>
        </w:rPr>
        <w:t>■ 2. なぜZスコアが必要なのか？（厚生省絶対径基準の破綻と根拠）</w:t>
      </w:r>
    </w:p>
    <w:p>
      <w:pPr>
        <w:spacing w:before="40" w:after="80"/>
      </w:pPr>
      <w:r>
        <w:t>小児領域では体重2kg〜60kg超まで体格が劇的に変化するため、大人のような固定カットオフ値は通用しません。従来の1984年厚生省基準（3mm/4mm/8mm）には以下の致命的リスクが存在します。</w:t>
      </w:r>
    </w:p>
    <w:p>
      <w:pPr>
        <w:spacing w:before="20" w:after="40"/>
        <w:ind w:left="288"/>
      </w:pPr>
      <w:r>
        <w:rPr>
          <w:b/>
        </w:rPr>
        <w:t>• 乳幼児における過小評価（偽陰性の危険）：</w:t>
      </w:r>
      <w:r>
        <w:t>生後1〜6か月の乳児の正常LAD径は平均1.2〜1.5mmです。もし3.0mmに達していた場合、旧厚生省基準では「正常〜軽度拡大」と見逃されますが、乳児にとっては正常の2倍以上であり、Zスコア換算では Z &gt; +5.0〜+8.0（中等度〜巨大動脈瘤）に相当します。適切な抗血栓療法が遅れる致命的リスクが生じます。</w:t>
      </w:r>
    </w:p>
    <w:p>
      <w:pPr>
        <w:spacing w:before="20" w:after="40"/>
        <w:ind w:left="288"/>
      </w:pPr>
      <w:r>
        <w:rPr>
          <w:b/>
        </w:rPr>
        <w:t>• 年長児における過剰診断（偽陽性の弊害）：</w:t>
      </w:r>
      <w:r>
        <w:t>学童期（10歳以上）では正常冠動脈径自体が2.5〜3.0mm近くあります。絶対径3.0mmだけで「動脈瘤」と過剰診断される不利益を排除できます。</w:t>
      </w:r>
    </w:p>
    <w:p>
      <w:pPr>
        <w:spacing w:before="20" w:after="40"/>
        <w:ind w:left="288"/>
      </w:pPr>
      <w:r>
        <w:rPr>
          <w:b/>
        </w:rPr>
        <w:t>• 体表面積（BSA）計算式の重要性：</w:t>
      </w:r>
      <w:r>
        <w:t>小林式やPettersen式の前提は「Haycock式」です。成人用DuBois式を1歳児（75cm, 10kg）に用いると、BSAが0.464 m²から0.437 m²へと約5.65%過小評価され、Zスコアが跳ね上がって判定がズレます。装置設定の統一が必須です。</w:t>
      </w:r>
    </w:p>
    <w:p>
      <w:pPr>
        <w:keepNext/>
        <w:spacing w:before="160" w:after="40"/>
      </w:pPr>
      <w:r>
        <w:rPr>
          <w:b/>
          <w:color w:val="1E40AF"/>
          <w:sz w:val="21"/>
        </w:rPr>
        <w:t>▶ 体格別 冠動脈径とZスコアの実算比較表</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334155"/>
            <w:tcMar>
              <w:top w:w="80" w:type="dxa"/>
              <w:bottom w:w="80" w:type="dxa"/>
              <w:left w:w="80" w:type="dxa"/>
              <w:right w:w="80" w:type="dxa"/>
            </w:tcMar>
          </w:tcPr>
          <w:p>
            <w:pPr>
              <w:jc w:val="center"/>
            </w:pPr>
            <w:r>
              <w:rPr>
                <w:b/>
                <w:color w:val="FFFFFF"/>
                <w:sz w:val="17"/>
              </w:rPr>
              <w:t>年齢</w:t>
            </w:r>
          </w:p>
        </w:tc>
        <w:tc>
          <w:tcPr>
            <w:tcW w:type="dxa" w:w="1584"/>
            <w:shd w:fill="334155"/>
            <w:tcMar>
              <w:top w:w="80" w:type="dxa"/>
              <w:bottom w:w="80" w:type="dxa"/>
              <w:left w:w="80" w:type="dxa"/>
              <w:right w:w="80" w:type="dxa"/>
            </w:tcMar>
          </w:tcPr>
          <w:p>
            <w:pPr>
              <w:jc w:val="center"/>
            </w:pPr>
            <w:r>
              <w:rPr>
                <w:b/>
                <w:color w:val="FFFFFF"/>
                <w:sz w:val="17"/>
              </w:rPr>
              <w:t>身長/体重</w:t>
            </w:r>
          </w:p>
        </w:tc>
        <w:tc>
          <w:tcPr>
            <w:tcW w:type="dxa" w:w="1584"/>
            <w:shd w:fill="334155"/>
            <w:tcMar>
              <w:top w:w="80" w:type="dxa"/>
              <w:bottom w:w="80" w:type="dxa"/>
              <w:left w:w="80" w:type="dxa"/>
              <w:right w:w="80" w:type="dxa"/>
            </w:tcMar>
          </w:tcPr>
          <w:p>
            <w:pPr>
              <w:jc w:val="center"/>
            </w:pPr>
            <w:r>
              <w:rPr>
                <w:b/>
                <w:color w:val="FFFFFF"/>
                <w:sz w:val="17"/>
              </w:rPr>
              <w:t>Haycock BSA</w:t>
            </w:r>
          </w:p>
        </w:tc>
        <w:tc>
          <w:tcPr>
            <w:tcW w:type="dxa" w:w="1440"/>
            <w:shd w:fill="334155"/>
            <w:tcMar>
              <w:top w:w="80" w:type="dxa"/>
              <w:bottom w:w="80" w:type="dxa"/>
              <w:left w:w="80" w:type="dxa"/>
              <w:right w:w="80" w:type="dxa"/>
            </w:tcMar>
          </w:tcPr>
          <w:p>
            <w:pPr>
              <w:jc w:val="center"/>
            </w:pPr>
            <w:r>
              <w:rPr>
                <w:b/>
                <w:color w:val="FFFFFF"/>
                <w:sz w:val="17"/>
              </w:rPr>
              <w:t>LAD実測径</w:t>
            </w:r>
          </w:p>
        </w:tc>
        <w:tc>
          <w:tcPr>
            <w:tcW w:type="dxa" w:w="1728"/>
            <w:shd w:fill="334155"/>
            <w:tcMar>
              <w:top w:w="80" w:type="dxa"/>
              <w:bottom w:w="80" w:type="dxa"/>
              <w:left w:w="80" w:type="dxa"/>
              <w:right w:w="80" w:type="dxa"/>
            </w:tcMar>
          </w:tcPr>
          <w:p>
            <w:pPr>
              <w:jc w:val="center"/>
            </w:pPr>
            <w:r>
              <w:rPr>
                <w:b/>
                <w:color w:val="FFFFFF"/>
                <w:sz w:val="17"/>
              </w:rPr>
              <w:t>旧厚生省判定</w:t>
            </w:r>
          </w:p>
        </w:tc>
        <w:tc>
          <w:tcPr>
            <w:tcW w:type="dxa" w:w="2160"/>
            <w:shd w:fill="334155"/>
            <w:tcMar>
              <w:top w:w="80" w:type="dxa"/>
              <w:bottom w:w="80" w:type="dxa"/>
              <w:left w:w="80" w:type="dxa"/>
              <w:right w:w="80" w:type="dxa"/>
            </w:tcMar>
          </w:tcPr>
          <w:p>
            <w:pPr>
              <w:jc w:val="center"/>
            </w:pPr>
            <w:r>
              <w:rPr>
                <w:b/>
                <w:color w:val="FFFFFF"/>
                <w:sz w:val="17"/>
              </w:rPr>
              <w:t>Zスコア判定 (小林式)</w:t>
            </w:r>
          </w:p>
        </w:tc>
      </w:tr>
      <w:tr>
        <w:tc>
          <w:tcPr>
            <w:tcW w:type="dxa" w:w="1440"/>
            <w:shd w:fill="F1F5F9"/>
            <w:tcMar>
              <w:top w:w="60" w:type="dxa"/>
              <w:bottom w:w="60" w:type="dxa"/>
              <w:left w:w="80" w:type="dxa"/>
              <w:right w:w="80" w:type="dxa"/>
            </w:tcMar>
            <w:tcBorders>
              <w:bottom w:val="single" w:sz="4" w:space="0" w:color="CBD5E1"/>
            </w:tcBorders>
          </w:tcPr>
          <w:p>
            <w:pPr>
              <w:jc w:val="center"/>
            </w:pPr>
            <w:r>
              <w:rPr>
                <w:sz w:val="17"/>
              </w:rPr>
              <w:t>生後6か月</w:t>
            </w:r>
          </w:p>
        </w:tc>
        <w:tc>
          <w:tcPr>
            <w:tcW w:type="dxa" w:w="1584"/>
            <w:shd w:fill="F1F5F9"/>
            <w:tcMar>
              <w:top w:w="60" w:type="dxa"/>
              <w:bottom w:w="60" w:type="dxa"/>
              <w:left w:w="80" w:type="dxa"/>
              <w:right w:w="80" w:type="dxa"/>
            </w:tcMar>
            <w:tcBorders>
              <w:bottom w:val="single" w:sz="4" w:space="0" w:color="CBD5E1"/>
            </w:tcBorders>
          </w:tcPr>
          <w:p>
            <w:r>
              <w:rPr>
                <w:sz w:val="17"/>
              </w:rPr>
              <w:t>66cm / 7.5kg</w:t>
            </w:r>
          </w:p>
        </w:tc>
        <w:tc>
          <w:tcPr>
            <w:tcW w:type="dxa" w:w="1584"/>
            <w:shd w:fill="F1F5F9"/>
            <w:tcMar>
              <w:top w:w="60" w:type="dxa"/>
              <w:bottom w:w="60" w:type="dxa"/>
              <w:left w:w="80" w:type="dxa"/>
              <w:right w:w="80" w:type="dxa"/>
            </w:tcMar>
            <w:tcBorders>
              <w:bottom w:val="single" w:sz="4" w:space="0" w:color="CBD5E1"/>
            </w:tcBorders>
          </w:tcPr>
          <w:p>
            <w:pPr>
              <w:jc w:val="center"/>
            </w:pPr>
            <w:r>
              <w:rPr>
                <w:sz w:val="17"/>
              </w:rPr>
              <w:t>0.377 m²</w:t>
            </w:r>
          </w:p>
        </w:tc>
        <w:tc>
          <w:tcPr>
            <w:tcW w:type="dxa" w:w="1440"/>
            <w:shd w:fill="F1F5F9"/>
            <w:tcMar>
              <w:top w:w="60" w:type="dxa"/>
              <w:bottom w:w="60" w:type="dxa"/>
              <w:left w:w="80" w:type="dxa"/>
              <w:right w:w="80" w:type="dxa"/>
            </w:tcMar>
            <w:tcBorders>
              <w:bottom w:val="single" w:sz="4" w:space="0" w:color="CBD5E1"/>
            </w:tcBorders>
          </w:tcPr>
          <w:p>
            <w:pPr>
              <w:jc w:val="center"/>
            </w:pPr>
            <w:r>
              <w:rPr>
                <w:sz w:val="17"/>
              </w:rPr>
              <w:t>3.0 mm</w:t>
            </w:r>
          </w:p>
        </w:tc>
        <w:tc>
          <w:tcPr>
            <w:tcW w:type="dxa" w:w="1728"/>
            <w:shd w:fill="F1F5F9"/>
            <w:tcMar>
              <w:top w:w="60" w:type="dxa"/>
              <w:bottom w:w="60" w:type="dxa"/>
              <w:left w:w="80" w:type="dxa"/>
              <w:right w:w="80" w:type="dxa"/>
            </w:tcMar>
            <w:tcBorders>
              <w:bottom w:val="single" w:sz="4" w:space="0" w:color="CBD5E1"/>
            </w:tcBorders>
          </w:tcPr>
          <w:p>
            <w:pPr>
              <w:jc w:val="center"/>
            </w:pPr>
            <w:r>
              <w:rPr>
                <w:sz w:val="17"/>
              </w:rPr>
              <w:t>正常〜境界域</w:t>
            </w:r>
          </w:p>
        </w:tc>
        <w:tc>
          <w:tcPr>
            <w:tcW w:type="dxa" w:w="2160"/>
            <w:shd w:fill="F1F5F9"/>
            <w:tcMar>
              <w:top w:w="60" w:type="dxa"/>
              <w:bottom w:w="60" w:type="dxa"/>
              <w:left w:w="80" w:type="dxa"/>
              <w:right w:w="80" w:type="dxa"/>
            </w:tcMar>
            <w:tcBorders>
              <w:bottom w:val="single" w:sz="4" w:space="0" w:color="CBD5E1"/>
            </w:tcBorders>
          </w:tcPr>
          <w:p>
            <w:r>
              <w:rPr>
                <w:b/>
                <w:color w:val="B91C1C"/>
                <w:sz w:val="17"/>
              </w:rPr>
              <w:t>Z ≒ +6.5 (中等度瘤: 重症)</w:t>
            </w:r>
          </w:p>
        </w:tc>
      </w:tr>
      <w:tr>
        <w:tc>
          <w:tcPr>
            <w:tcW w:type="dxa" w:w="1440"/>
            <w:shd w:fill="FFFFFF"/>
            <w:tcMar>
              <w:top w:w="60" w:type="dxa"/>
              <w:bottom w:w="60" w:type="dxa"/>
              <w:left w:w="80" w:type="dxa"/>
              <w:right w:w="80" w:type="dxa"/>
            </w:tcMar>
            <w:tcBorders>
              <w:bottom w:val="single" w:sz="4" w:space="0" w:color="CBD5E1"/>
            </w:tcBorders>
          </w:tcPr>
          <w:p>
            <w:pPr>
              <w:jc w:val="center"/>
            </w:pPr>
            <w:r>
              <w:rPr>
                <w:sz w:val="17"/>
              </w:rPr>
              <w:t>1歳</w:t>
            </w:r>
          </w:p>
        </w:tc>
        <w:tc>
          <w:tcPr>
            <w:tcW w:type="dxa" w:w="1584"/>
            <w:shd w:fill="FFFFFF"/>
            <w:tcMar>
              <w:top w:w="60" w:type="dxa"/>
              <w:bottom w:w="60" w:type="dxa"/>
              <w:left w:w="80" w:type="dxa"/>
              <w:right w:w="80" w:type="dxa"/>
            </w:tcMar>
            <w:tcBorders>
              <w:bottom w:val="single" w:sz="4" w:space="0" w:color="CBD5E1"/>
            </w:tcBorders>
          </w:tcPr>
          <w:p>
            <w:r>
              <w:rPr>
                <w:sz w:val="17"/>
              </w:rPr>
              <w:t>75cm / 10.0kg</w:t>
            </w:r>
          </w:p>
        </w:tc>
        <w:tc>
          <w:tcPr>
            <w:tcW w:type="dxa" w:w="1584"/>
            <w:shd w:fill="FFFFFF"/>
            <w:tcMar>
              <w:top w:w="60" w:type="dxa"/>
              <w:bottom w:w="60" w:type="dxa"/>
              <w:left w:w="80" w:type="dxa"/>
              <w:right w:w="80" w:type="dxa"/>
            </w:tcMar>
            <w:tcBorders>
              <w:bottom w:val="single" w:sz="4" w:space="0" w:color="CBD5E1"/>
            </w:tcBorders>
          </w:tcPr>
          <w:p>
            <w:pPr>
              <w:jc w:val="center"/>
            </w:pPr>
            <w:r>
              <w:rPr>
                <w:sz w:val="17"/>
              </w:rPr>
              <w:t>0.464 m²</w:t>
            </w:r>
          </w:p>
        </w:tc>
        <w:tc>
          <w:tcPr>
            <w:tcW w:type="dxa" w:w="1440"/>
            <w:shd w:fill="FFFFFF"/>
            <w:tcMar>
              <w:top w:w="60" w:type="dxa"/>
              <w:bottom w:w="60" w:type="dxa"/>
              <w:left w:w="80" w:type="dxa"/>
              <w:right w:w="80" w:type="dxa"/>
            </w:tcMar>
            <w:tcBorders>
              <w:bottom w:val="single" w:sz="4" w:space="0" w:color="CBD5E1"/>
            </w:tcBorders>
          </w:tcPr>
          <w:p>
            <w:pPr>
              <w:jc w:val="center"/>
            </w:pPr>
            <w:r>
              <w:rPr>
                <w:sz w:val="17"/>
              </w:rPr>
              <w:t>3.2 mm</w:t>
            </w:r>
          </w:p>
        </w:tc>
        <w:tc>
          <w:tcPr>
            <w:tcW w:type="dxa" w:w="1728"/>
            <w:shd w:fill="FFFFFF"/>
            <w:tcMar>
              <w:top w:w="60" w:type="dxa"/>
              <w:bottom w:w="60" w:type="dxa"/>
              <w:left w:w="80" w:type="dxa"/>
              <w:right w:w="80" w:type="dxa"/>
            </w:tcMar>
            <w:tcBorders>
              <w:bottom w:val="single" w:sz="4" w:space="0" w:color="CBD5E1"/>
            </w:tcBorders>
          </w:tcPr>
          <w:p>
            <w:pPr>
              <w:jc w:val="center"/>
            </w:pPr>
            <w:r>
              <w:rPr>
                <w:sz w:val="17"/>
              </w:rPr>
              <w:t>境界域</w:t>
            </w:r>
          </w:p>
        </w:tc>
        <w:tc>
          <w:tcPr>
            <w:tcW w:type="dxa" w:w="2160"/>
            <w:shd w:fill="FFFFFF"/>
            <w:tcMar>
              <w:top w:w="60" w:type="dxa"/>
              <w:bottom w:w="60" w:type="dxa"/>
              <w:left w:w="80" w:type="dxa"/>
              <w:right w:w="80" w:type="dxa"/>
            </w:tcMar>
            <w:tcBorders>
              <w:bottom w:val="single" w:sz="4" w:space="0" w:color="CBD5E1"/>
            </w:tcBorders>
          </w:tcPr>
          <w:p>
            <w:r>
              <w:rPr>
                <w:b/>
                <w:color w:val="B91C1C"/>
                <w:sz w:val="17"/>
              </w:rPr>
              <w:t>Z ≒ +5.1 (中等度動脈瘤)</w:t>
            </w:r>
          </w:p>
        </w:tc>
      </w:tr>
      <w:tr>
        <w:tc>
          <w:tcPr>
            <w:tcW w:type="dxa" w:w="1440"/>
            <w:shd w:fill="F1F5F9"/>
            <w:tcMar>
              <w:top w:w="60" w:type="dxa"/>
              <w:bottom w:w="60" w:type="dxa"/>
              <w:left w:w="80" w:type="dxa"/>
              <w:right w:w="80" w:type="dxa"/>
            </w:tcMar>
            <w:tcBorders>
              <w:bottom w:val="single" w:sz="4" w:space="0" w:color="CBD5E1"/>
            </w:tcBorders>
          </w:tcPr>
          <w:p>
            <w:pPr>
              <w:jc w:val="center"/>
            </w:pPr>
            <w:r>
              <w:rPr>
                <w:sz w:val="17"/>
              </w:rPr>
              <w:t>5歳</w:t>
            </w:r>
          </w:p>
        </w:tc>
        <w:tc>
          <w:tcPr>
            <w:tcW w:type="dxa" w:w="1584"/>
            <w:shd w:fill="F1F5F9"/>
            <w:tcMar>
              <w:top w:w="60" w:type="dxa"/>
              <w:bottom w:w="60" w:type="dxa"/>
              <w:left w:w="80" w:type="dxa"/>
              <w:right w:w="80" w:type="dxa"/>
            </w:tcMar>
            <w:tcBorders>
              <w:bottom w:val="single" w:sz="4" w:space="0" w:color="CBD5E1"/>
            </w:tcBorders>
          </w:tcPr>
          <w:p>
            <w:r>
              <w:rPr>
                <w:sz w:val="17"/>
              </w:rPr>
              <w:t>110cm / 18.0kg</w:t>
            </w:r>
          </w:p>
        </w:tc>
        <w:tc>
          <w:tcPr>
            <w:tcW w:type="dxa" w:w="1584"/>
            <w:shd w:fill="F1F5F9"/>
            <w:tcMar>
              <w:top w:w="60" w:type="dxa"/>
              <w:bottom w:w="60" w:type="dxa"/>
              <w:left w:w="80" w:type="dxa"/>
              <w:right w:w="80" w:type="dxa"/>
            </w:tcMar>
            <w:tcBorders>
              <w:bottom w:val="single" w:sz="4" w:space="0" w:color="CBD5E1"/>
            </w:tcBorders>
          </w:tcPr>
          <w:p>
            <w:pPr>
              <w:jc w:val="center"/>
            </w:pPr>
            <w:r>
              <w:rPr>
                <w:sz w:val="17"/>
              </w:rPr>
              <w:t>0.740 m²</w:t>
            </w:r>
          </w:p>
        </w:tc>
        <w:tc>
          <w:tcPr>
            <w:tcW w:type="dxa" w:w="1440"/>
            <w:shd w:fill="F1F5F9"/>
            <w:tcMar>
              <w:top w:w="60" w:type="dxa"/>
              <w:bottom w:w="60" w:type="dxa"/>
              <w:left w:w="80" w:type="dxa"/>
              <w:right w:w="80" w:type="dxa"/>
            </w:tcMar>
            <w:tcBorders>
              <w:bottom w:val="single" w:sz="4" w:space="0" w:color="CBD5E1"/>
            </w:tcBorders>
          </w:tcPr>
          <w:p>
            <w:pPr>
              <w:jc w:val="center"/>
            </w:pPr>
            <w:r>
              <w:rPr>
                <w:sz w:val="17"/>
              </w:rPr>
              <w:t>3.2 mm</w:t>
            </w:r>
          </w:p>
        </w:tc>
        <w:tc>
          <w:tcPr>
            <w:tcW w:type="dxa" w:w="1728"/>
            <w:shd w:fill="F1F5F9"/>
            <w:tcMar>
              <w:top w:w="60" w:type="dxa"/>
              <w:bottom w:w="60" w:type="dxa"/>
              <w:left w:w="80" w:type="dxa"/>
              <w:right w:w="80" w:type="dxa"/>
            </w:tcMar>
            <w:tcBorders>
              <w:bottom w:val="single" w:sz="4" w:space="0" w:color="CBD5E1"/>
            </w:tcBorders>
          </w:tcPr>
          <w:p>
            <w:pPr>
              <w:jc w:val="center"/>
            </w:pPr>
            <w:r>
              <w:rPr>
                <w:sz w:val="17"/>
              </w:rPr>
              <w:t>境界域</w:t>
            </w:r>
          </w:p>
        </w:tc>
        <w:tc>
          <w:tcPr>
            <w:tcW w:type="dxa" w:w="2160"/>
            <w:shd w:fill="F1F5F9"/>
            <w:tcMar>
              <w:top w:w="60" w:type="dxa"/>
              <w:bottom w:w="60" w:type="dxa"/>
              <w:left w:w="80" w:type="dxa"/>
              <w:right w:w="80" w:type="dxa"/>
            </w:tcMar>
            <w:tcBorders>
              <w:bottom w:val="single" w:sz="4" w:space="0" w:color="CBD5E1"/>
            </w:tcBorders>
          </w:tcPr>
          <w:p>
            <w:r>
              <w:rPr>
                <w:b/>
                <w:sz w:val="17"/>
              </w:rPr>
              <w:t>Z ≒ +2.1 (軽度拡大にとどまる)</w:t>
            </w:r>
          </w:p>
        </w:tc>
      </w:tr>
    </w:tbl>
    <w:p>
      <w:pPr>
        <w:keepNext/>
        <w:spacing w:before="240" w:after="80"/>
      </w:pPr>
      <w:r>
        <w:rPr>
          <w:b/>
          <w:color w:val="1A365D"/>
          <w:sz w:val="24"/>
        </w:rPr>
        <w:t>■ 3. 最新ガイドライン冠動脈病変分類（JCS/JSPCCS 2020年改訂版）</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80" w:type="dxa"/>
              <w:bottom w:w="80" w:type="dxa"/>
              <w:left w:w="80" w:type="dxa"/>
              <w:right w:w="80" w:type="dxa"/>
            </w:tcMar>
          </w:tcPr>
          <w:p>
            <w:pPr>
              <w:jc w:val="center"/>
            </w:pPr>
            <w:r>
              <w:rPr>
                <w:b/>
                <w:color w:val="FFFFFF"/>
                <w:sz w:val="17"/>
              </w:rPr>
              <w:t>病変分類</w:t>
            </w:r>
          </w:p>
        </w:tc>
        <w:tc>
          <w:tcPr>
            <w:tcW w:type="dxa" w:w="2160"/>
            <w:shd w:fill="1E3A8A"/>
            <w:tcMar>
              <w:top w:w="80" w:type="dxa"/>
              <w:bottom w:w="80" w:type="dxa"/>
              <w:left w:w="80" w:type="dxa"/>
              <w:right w:w="80" w:type="dxa"/>
            </w:tcMar>
          </w:tcPr>
          <w:p>
            <w:pPr>
              <w:jc w:val="center"/>
            </w:pPr>
            <w:r>
              <w:rPr>
                <w:b/>
                <w:color w:val="FFFFFF"/>
                <w:sz w:val="17"/>
              </w:rPr>
              <w:t>Zスコア基準</w:t>
            </w:r>
          </w:p>
        </w:tc>
        <w:tc>
          <w:tcPr>
            <w:tcW w:type="dxa" w:w="2160"/>
            <w:shd w:fill="1E3A8A"/>
            <w:tcMar>
              <w:top w:w="80" w:type="dxa"/>
              <w:bottom w:w="80" w:type="dxa"/>
              <w:left w:w="80" w:type="dxa"/>
              <w:right w:w="80" w:type="dxa"/>
            </w:tcMar>
          </w:tcPr>
          <w:p>
            <w:pPr>
              <w:jc w:val="center"/>
            </w:pPr>
            <w:r>
              <w:rPr>
                <w:b/>
                <w:color w:val="FFFFFF"/>
                <w:sz w:val="17"/>
              </w:rPr>
              <w:t>絶対径条件</w:t>
            </w:r>
          </w:p>
        </w:tc>
        <w:tc>
          <w:tcPr>
            <w:tcW w:type="dxa" w:w="3456"/>
            <w:shd w:fill="1E3A8A"/>
            <w:tcMar>
              <w:top w:w="80" w:type="dxa"/>
              <w:bottom w:w="80" w:type="dxa"/>
              <w:left w:w="80" w:type="dxa"/>
              <w:right w:w="80" w:type="dxa"/>
            </w:tcMar>
          </w:tcPr>
          <w:p>
            <w:pPr>
              <w:jc w:val="center"/>
            </w:pPr>
            <w:r>
              <w:rPr>
                <w:b/>
                <w:color w:val="FFFFFF"/>
                <w:sz w:val="17"/>
              </w:rPr>
              <w:t>臨床的意義・治療管理方針</w:t>
            </w:r>
          </w:p>
        </w:tc>
      </w:tr>
      <w:tr>
        <w:tc>
          <w:tcPr>
            <w:tcW w:type="dxa" w:w="2160"/>
            <w:shd w:fill="FFFFFF"/>
            <w:tcMar>
              <w:top w:w="60" w:type="dxa"/>
              <w:bottom w:w="60" w:type="dxa"/>
              <w:left w:w="80" w:type="dxa"/>
              <w:right w:w="80" w:type="dxa"/>
            </w:tcMar>
            <w:tcBorders>
              <w:bottom w:val="single" w:sz="4" w:space="0" w:color="E2E8F0"/>
            </w:tcBorders>
          </w:tcPr>
          <w:p>
            <w:r>
              <w:rPr>
                <w:sz w:val="17"/>
              </w:rPr>
              <w:t>正常 (No involvement)</w:t>
            </w:r>
          </w:p>
        </w:tc>
        <w:tc>
          <w:tcPr>
            <w:tcW w:type="dxa" w:w="2160"/>
            <w:shd w:fill="FFFFFF"/>
            <w:tcMar>
              <w:top w:w="60" w:type="dxa"/>
              <w:bottom w:w="60" w:type="dxa"/>
              <w:left w:w="80" w:type="dxa"/>
              <w:right w:w="80" w:type="dxa"/>
            </w:tcMar>
            <w:tcBorders>
              <w:bottom w:val="single" w:sz="4" w:space="0" w:color="E2E8F0"/>
            </w:tcBorders>
          </w:tcPr>
          <w:p>
            <w:pPr>
              <w:jc w:val="center"/>
            </w:pPr>
            <w:r>
              <w:rPr>
                <w:sz w:val="17"/>
              </w:rPr>
              <w:t>Z &lt; 2.0</w:t>
            </w:r>
          </w:p>
        </w:tc>
        <w:tc>
          <w:tcPr>
            <w:tcW w:type="dxa" w:w="2160"/>
            <w:shd w:fill="FFFFFF"/>
            <w:tcMar>
              <w:top w:w="60" w:type="dxa"/>
              <w:bottom w:w="60" w:type="dxa"/>
              <w:left w:w="80" w:type="dxa"/>
              <w:right w:w="80" w:type="dxa"/>
            </w:tcMar>
            <w:tcBorders>
              <w:bottom w:val="single" w:sz="4" w:space="0" w:color="E2E8F0"/>
            </w:tcBorders>
          </w:tcPr>
          <w:p>
            <w:pPr>
              <w:jc w:val="center"/>
            </w:pPr>
            <w:r>
              <w:rPr>
                <w:sz w:val="17"/>
              </w:rPr>
              <w:t>なし</w:t>
            </w:r>
          </w:p>
        </w:tc>
        <w:tc>
          <w:tcPr>
            <w:tcW w:type="dxa" w:w="3456"/>
            <w:shd w:fill="FFFFFF"/>
            <w:tcMar>
              <w:top w:w="60" w:type="dxa"/>
              <w:bottom w:w="60" w:type="dxa"/>
              <w:left w:w="80" w:type="dxa"/>
              <w:right w:w="80" w:type="dxa"/>
            </w:tcMar>
            <w:tcBorders>
              <w:bottom w:val="single" w:sz="4" w:space="0" w:color="E2E8F0"/>
            </w:tcBorders>
          </w:tcPr>
          <w:p>
            <w:r>
              <w:rPr>
                <w:sz w:val="17"/>
              </w:rPr>
              <w:t>冠動脈内径の有意な拡大なし。IVIGへの反応を追跡。</w:t>
            </w:r>
          </w:p>
        </w:tc>
      </w:tr>
      <w:tr>
        <w:tc>
          <w:tcPr>
            <w:tcW w:type="dxa" w:w="2160"/>
            <w:shd w:fill="F8FAFC"/>
            <w:tcMar>
              <w:top w:w="60" w:type="dxa"/>
              <w:bottom w:w="60" w:type="dxa"/>
              <w:left w:w="80" w:type="dxa"/>
              <w:right w:w="80" w:type="dxa"/>
            </w:tcMar>
            <w:tcBorders>
              <w:bottom w:val="single" w:sz="4" w:space="0" w:color="E2E8F0"/>
            </w:tcBorders>
          </w:tcPr>
          <w:p>
            <w:r>
              <w:rPr>
                <w:sz w:val="17"/>
              </w:rPr>
              <w:t>拡大 (Dilation only)</w:t>
            </w:r>
          </w:p>
        </w:tc>
        <w:tc>
          <w:tcPr>
            <w:tcW w:type="dxa" w:w="2160"/>
            <w:shd w:fill="F8FAFC"/>
            <w:tcMar>
              <w:top w:w="60" w:type="dxa"/>
              <w:bottom w:w="60" w:type="dxa"/>
              <w:left w:w="80" w:type="dxa"/>
              <w:right w:w="80" w:type="dxa"/>
            </w:tcMar>
            <w:tcBorders>
              <w:bottom w:val="single" w:sz="4" w:space="0" w:color="E2E8F0"/>
            </w:tcBorders>
          </w:tcPr>
          <w:p>
            <w:pPr>
              <w:jc w:val="center"/>
            </w:pPr>
            <w:r>
              <w:rPr>
                <w:sz w:val="17"/>
              </w:rPr>
              <w:t>2.0 ≤ Z &lt; 2.5</w:t>
            </w:r>
          </w:p>
        </w:tc>
        <w:tc>
          <w:tcPr>
            <w:tcW w:type="dxa" w:w="2160"/>
            <w:shd w:fill="F8FAFC"/>
            <w:tcMar>
              <w:top w:w="60" w:type="dxa"/>
              <w:bottom w:w="60" w:type="dxa"/>
              <w:left w:w="80" w:type="dxa"/>
              <w:right w:w="80" w:type="dxa"/>
            </w:tcMar>
            <w:tcBorders>
              <w:bottom w:val="single" w:sz="4" w:space="0" w:color="E2E8F0"/>
            </w:tcBorders>
          </w:tcPr>
          <w:p>
            <w:pPr>
              <w:jc w:val="center"/>
            </w:pPr>
            <w:r>
              <w:rPr>
                <w:sz w:val="17"/>
              </w:rPr>
              <w:t>なし</w:t>
            </w:r>
          </w:p>
        </w:tc>
        <w:tc>
          <w:tcPr>
            <w:tcW w:type="dxa" w:w="3456"/>
            <w:shd w:fill="F8FAFC"/>
            <w:tcMar>
              <w:top w:w="60" w:type="dxa"/>
              <w:bottom w:w="60" w:type="dxa"/>
              <w:left w:w="80" w:type="dxa"/>
              <w:right w:w="80" w:type="dxa"/>
            </w:tcMar>
            <w:tcBorders>
              <w:bottom w:val="single" w:sz="4" w:space="0" w:color="E2E8F0"/>
            </w:tcBorders>
          </w:tcPr>
          <w:p>
            <w:r>
              <w:rPr>
                <w:sz w:val="17"/>
              </w:rPr>
              <w:t>軽度・一過性拡大。血管周囲輝度亢進の併発に注意。</w:t>
            </w:r>
          </w:p>
        </w:tc>
      </w:tr>
      <w:tr>
        <w:tc>
          <w:tcPr>
            <w:tcW w:type="dxa" w:w="2160"/>
            <w:shd w:fill="FFFFFF"/>
            <w:tcMar>
              <w:top w:w="60" w:type="dxa"/>
              <w:bottom w:w="60" w:type="dxa"/>
              <w:left w:w="80" w:type="dxa"/>
              <w:right w:w="80" w:type="dxa"/>
            </w:tcMar>
            <w:tcBorders>
              <w:bottom w:val="single" w:sz="4" w:space="0" w:color="E2E8F0"/>
            </w:tcBorders>
          </w:tcPr>
          <w:p>
            <w:r>
              <w:rPr>
                <w:sz w:val="17"/>
              </w:rPr>
              <w:t>小動脈瘤 (Small)</w:t>
            </w:r>
          </w:p>
        </w:tc>
        <w:tc>
          <w:tcPr>
            <w:tcW w:type="dxa" w:w="2160"/>
            <w:shd w:fill="FFFFFF"/>
            <w:tcMar>
              <w:top w:w="60" w:type="dxa"/>
              <w:bottom w:w="60" w:type="dxa"/>
              <w:left w:w="80" w:type="dxa"/>
              <w:right w:w="80" w:type="dxa"/>
            </w:tcMar>
            <w:tcBorders>
              <w:bottom w:val="single" w:sz="4" w:space="0" w:color="E2E8F0"/>
            </w:tcBorders>
          </w:tcPr>
          <w:p>
            <w:pPr>
              <w:jc w:val="center"/>
            </w:pPr>
            <w:r>
              <w:rPr>
                <w:sz w:val="17"/>
              </w:rPr>
              <w:t>2.5 ≤ Z &lt; 5.0</w:t>
            </w:r>
          </w:p>
        </w:tc>
        <w:tc>
          <w:tcPr>
            <w:tcW w:type="dxa" w:w="2160"/>
            <w:shd w:fill="FFFFFF"/>
            <w:tcMar>
              <w:top w:w="60" w:type="dxa"/>
              <w:bottom w:w="60" w:type="dxa"/>
              <w:left w:w="80" w:type="dxa"/>
              <w:right w:w="80" w:type="dxa"/>
            </w:tcMar>
            <w:tcBorders>
              <w:bottom w:val="single" w:sz="4" w:space="0" w:color="E2E8F0"/>
            </w:tcBorders>
          </w:tcPr>
          <w:p>
            <w:pPr>
              <w:jc w:val="center"/>
            </w:pPr>
            <w:r>
              <w:rPr>
                <w:sz w:val="17"/>
              </w:rPr>
              <w:t>絶対径 &lt; 4.0 mm</w:t>
            </w:r>
          </w:p>
        </w:tc>
        <w:tc>
          <w:tcPr>
            <w:tcW w:type="dxa" w:w="3456"/>
            <w:shd w:fill="FFFFFF"/>
            <w:tcMar>
              <w:top w:w="60" w:type="dxa"/>
              <w:bottom w:w="60" w:type="dxa"/>
              <w:left w:w="80" w:type="dxa"/>
              <w:right w:w="80" w:type="dxa"/>
            </w:tcMar>
            <w:tcBorders>
              <w:bottom w:val="single" w:sz="4" w:space="0" w:color="E2E8F0"/>
            </w:tcBorders>
          </w:tcPr>
          <w:p>
            <w:r>
              <w:rPr>
                <w:sz w:val="17"/>
              </w:rPr>
              <w:t>明らかな冠動脈瘤。アスピリン継続、退縮と内膜肥厚観察。</w:t>
            </w:r>
          </w:p>
        </w:tc>
      </w:tr>
      <w:tr>
        <w:tc>
          <w:tcPr>
            <w:tcW w:type="dxa" w:w="2160"/>
            <w:shd w:fill="FFFBEB"/>
            <w:tcMar>
              <w:top w:w="60" w:type="dxa"/>
              <w:bottom w:w="60" w:type="dxa"/>
              <w:left w:w="80" w:type="dxa"/>
              <w:right w:w="80" w:type="dxa"/>
            </w:tcMar>
            <w:tcBorders>
              <w:bottom w:val="single" w:sz="4" w:space="0" w:color="E2E8F0"/>
            </w:tcBorders>
          </w:tcPr>
          <w:p>
            <w:r>
              <w:rPr>
                <w:sz w:val="17"/>
              </w:rPr>
              <w:t>中等度動脈瘤 (Medium)</w:t>
            </w:r>
          </w:p>
        </w:tc>
        <w:tc>
          <w:tcPr>
            <w:tcW w:type="dxa" w:w="2160"/>
            <w:shd w:fill="FFFBEB"/>
            <w:tcMar>
              <w:top w:w="60" w:type="dxa"/>
              <w:bottom w:w="60" w:type="dxa"/>
              <w:left w:w="80" w:type="dxa"/>
              <w:right w:w="80" w:type="dxa"/>
            </w:tcMar>
            <w:tcBorders>
              <w:bottom w:val="single" w:sz="4" w:space="0" w:color="E2E8F0"/>
            </w:tcBorders>
          </w:tcPr>
          <w:p>
            <w:pPr>
              <w:jc w:val="center"/>
            </w:pPr>
            <w:r>
              <w:rPr>
                <w:sz w:val="17"/>
              </w:rPr>
              <w:t>5.0 ≤ Z &lt; 10.0</w:t>
            </w:r>
          </w:p>
        </w:tc>
        <w:tc>
          <w:tcPr>
            <w:tcW w:type="dxa" w:w="2160"/>
            <w:shd w:fill="FFFBEB"/>
            <w:tcMar>
              <w:top w:w="60" w:type="dxa"/>
              <w:bottom w:w="60" w:type="dxa"/>
              <w:left w:w="80" w:type="dxa"/>
              <w:right w:w="80" w:type="dxa"/>
            </w:tcMar>
            <w:tcBorders>
              <w:bottom w:val="single" w:sz="4" w:space="0" w:color="E2E8F0"/>
            </w:tcBorders>
          </w:tcPr>
          <w:p>
            <w:pPr>
              <w:jc w:val="center"/>
            </w:pPr>
            <w:r>
              <w:rPr>
                <w:sz w:val="17"/>
              </w:rPr>
              <w:t>かつ 絶対径 &lt; 8.0 mm</w:t>
            </w:r>
          </w:p>
        </w:tc>
        <w:tc>
          <w:tcPr>
            <w:tcW w:type="dxa" w:w="3456"/>
            <w:shd w:fill="FFFBEB"/>
            <w:tcMar>
              <w:top w:w="60" w:type="dxa"/>
              <w:bottom w:w="60" w:type="dxa"/>
              <w:left w:w="80" w:type="dxa"/>
              <w:right w:w="80" w:type="dxa"/>
            </w:tcMar>
            <w:tcBorders>
              <w:bottom w:val="single" w:sz="4" w:space="0" w:color="E2E8F0"/>
            </w:tcBorders>
          </w:tcPr>
          <w:p>
            <w:r>
              <w:rPr>
                <w:sz w:val="17"/>
              </w:rPr>
              <w:t>血栓・将来の狭窄リスク高。抗血小板強化、頻回エコー。</w:t>
            </w:r>
          </w:p>
        </w:tc>
      </w:tr>
      <w:tr>
        <w:tc>
          <w:tcPr>
            <w:tcW w:type="dxa" w:w="2160"/>
            <w:shd w:fill="FEF2F2"/>
            <w:tcMar>
              <w:top w:w="60" w:type="dxa"/>
              <w:bottom w:w="60" w:type="dxa"/>
              <w:left w:w="80" w:type="dxa"/>
              <w:right w:w="80" w:type="dxa"/>
            </w:tcMar>
            <w:tcBorders>
              <w:bottom w:val="single" w:sz="4" w:space="0" w:color="E2E8F0"/>
            </w:tcBorders>
          </w:tcPr>
          <w:p>
            <w:r>
              <w:rPr>
                <w:b/>
                <w:color w:val="B91C1C"/>
                <w:sz w:val="17"/>
              </w:rPr>
              <w:t>巨大動脈瘤 (Giant)</w:t>
            </w:r>
          </w:p>
        </w:tc>
        <w:tc>
          <w:tcPr>
            <w:tcW w:type="dxa" w:w="2160"/>
            <w:shd w:fill="FEF2F2"/>
            <w:tcMar>
              <w:top w:w="60" w:type="dxa"/>
              <w:bottom w:w="60" w:type="dxa"/>
              <w:left w:w="80" w:type="dxa"/>
              <w:right w:w="80" w:type="dxa"/>
            </w:tcMar>
            <w:tcBorders>
              <w:bottom w:val="single" w:sz="4" w:space="0" w:color="E2E8F0"/>
            </w:tcBorders>
          </w:tcPr>
          <w:p>
            <w:pPr>
              <w:jc w:val="center"/>
            </w:pPr>
            <w:r>
              <w:rPr>
                <w:b/>
                <w:color w:val="B91C1C"/>
                <w:sz w:val="17"/>
              </w:rPr>
              <w:t>Z ≥ 10.0</w:t>
            </w:r>
          </w:p>
        </w:tc>
        <w:tc>
          <w:tcPr>
            <w:tcW w:type="dxa" w:w="2160"/>
            <w:shd w:fill="FEF2F2"/>
            <w:tcMar>
              <w:top w:w="60" w:type="dxa"/>
              <w:bottom w:w="60" w:type="dxa"/>
              <w:left w:w="80" w:type="dxa"/>
              <w:right w:w="80" w:type="dxa"/>
            </w:tcMar>
            <w:tcBorders>
              <w:bottom w:val="single" w:sz="4" w:space="0" w:color="E2E8F0"/>
            </w:tcBorders>
          </w:tcPr>
          <w:p>
            <w:pPr>
              <w:jc w:val="center"/>
            </w:pPr>
            <w:r>
              <w:rPr>
                <w:sz w:val="17"/>
              </w:rPr>
              <w:t>または 絶対径 ≥ 8.0 mm</w:t>
            </w:r>
          </w:p>
        </w:tc>
        <w:tc>
          <w:tcPr>
            <w:tcW w:type="dxa" w:w="3456"/>
            <w:shd w:fill="FEF2F2"/>
            <w:tcMar>
              <w:top w:w="60" w:type="dxa"/>
              <w:bottom w:w="60" w:type="dxa"/>
              <w:left w:w="80" w:type="dxa"/>
              <w:right w:w="80" w:type="dxa"/>
            </w:tcMar>
            <w:tcBorders>
              <w:bottom w:val="single" w:sz="4" w:space="0" w:color="E2E8F0"/>
            </w:tcBorders>
          </w:tcPr>
          <w:p>
            <w:r>
              <w:rPr>
                <w:sz w:val="17"/>
              </w:rPr>
              <w:t>破裂・血栓閉塞の超高リスク。アスピリン＋ワルファリン併用必須。</w:t>
            </w:r>
          </w:p>
        </w:tc>
      </w:tr>
    </w:tbl>
    <w:p>
      <w:pPr>
        <w:keepNext/>
        <w:spacing w:before="240" w:after="80"/>
      </w:pPr>
      <w:r>
        <w:rPr>
          <w:b/>
          <w:color w:val="1A365D"/>
          <w:sz w:val="24"/>
        </w:rPr>
        <w:t>■ 4. 心腔計測（Chamber）Zスコアの知見（汎心筋炎・大動脈炎の早期検出）</w:t>
      </w:r>
    </w:p>
    <w:p>
      <w:pPr>
        <w:spacing w:before="40" w:after="80"/>
      </w:pPr>
      <w:r>
        <w:t>川崎病は冠動脈瘤だけでなく、本質的に「汎心筋炎（Pancarditis）」です。冠動脈瘤が出現する前の超急性期（第1〜4病日）から、心腔Zスコアを用いることで重症病態をいち早く捉えることができます。</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766E"/>
            <w:tcMar>
              <w:top w:w="80" w:type="dxa"/>
              <w:bottom w:w="80" w:type="dxa"/>
              <w:left w:w="80" w:type="dxa"/>
              <w:right w:w="80" w:type="dxa"/>
            </w:tcMar>
          </w:tcPr>
          <w:p>
            <w:pPr>
              <w:jc w:val="center"/>
            </w:pPr>
            <w:r>
              <w:rPr>
                <w:b/>
                <w:color w:val="FFFFFF"/>
                <w:sz w:val="17"/>
              </w:rPr>
              <w:t>計測部位</w:t>
            </w:r>
          </w:p>
        </w:tc>
        <w:tc>
          <w:tcPr>
            <w:tcW w:type="dxa" w:w="1872"/>
            <w:shd w:fill="0F766E"/>
            <w:tcMar>
              <w:top w:w="80" w:type="dxa"/>
              <w:bottom w:w="80" w:type="dxa"/>
              <w:left w:w="80" w:type="dxa"/>
              <w:right w:w="80" w:type="dxa"/>
            </w:tcMar>
          </w:tcPr>
          <w:p>
            <w:pPr>
              <w:jc w:val="center"/>
            </w:pPr>
            <w:r>
              <w:rPr>
                <w:b/>
                <w:color w:val="FFFFFF"/>
                <w:sz w:val="17"/>
              </w:rPr>
              <w:t>正常基準値</w:t>
            </w:r>
          </w:p>
        </w:tc>
        <w:tc>
          <w:tcPr>
            <w:tcW w:type="dxa" w:w="2160"/>
            <w:shd w:fill="0F766E"/>
            <w:tcMar>
              <w:top w:w="80" w:type="dxa"/>
              <w:bottom w:w="80" w:type="dxa"/>
              <w:left w:w="80" w:type="dxa"/>
              <w:right w:w="80" w:type="dxa"/>
            </w:tcMar>
          </w:tcPr>
          <w:p>
            <w:pPr>
              <w:jc w:val="center"/>
            </w:pPr>
            <w:r>
              <w:rPr>
                <w:b/>
                <w:color w:val="FFFFFF"/>
                <w:sz w:val="17"/>
              </w:rPr>
              <w:t>異常判定閾値</w:t>
            </w:r>
          </w:p>
        </w:tc>
        <w:tc>
          <w:tcPr>
            <w:tcW w:type="dxa" w:w="3312"/>
            <w:shd w:fill="0F766E"/>
            <w:tcMar>
              <w:top w:w="80" w:type="dxa"/>
              <w:bottom w:w="80" w:type="dxa"/>
              <w:left w:w="80" w:type="dxa"/>
              <w:right w:w="80" w:type="dxa"/>
            </w:tcMar>
          </w:tcPr>
          <w:p>
            <w:pPr>
              <w:jc w:val="center"/>
            </w:pPr>
            <w:r>
              <w:rPr>
                <w:b/>
                <w:color w:val="FFFFFF"/>
                <w:sz w:val="17"/>
              </w:rPr>
              <w:t>川崎病における臨床的病態と意義</w:t>
            </w:r>
          </w:p>
        </w:tc>
      </w:tr>
      <w:tr>
        <w:tc>
          <w:tcPr>
            <w:tcW w:type="dxa" w:w="2592"/>
            <w:shd w:fill="F0FDFA"/>
            <w:tcMar>
              <w:top w:w="60" w:type="dxa"/>
              <w:bottom w:w="60" w:type="dxa"/>
              <w:left w:w="80" w:type="dxa"/>
              <w:right w:w="80" w:type="dxa"/>
            </w:tcMar>
            <w:tcBorders>
              <w:bottom w:val="single" w:sz="4" w:space="0" w:color="CCFBF1"/>
            </w:tcBorders>
          </w:tcPr>
          <w:p>
            <w:r>
              <w:rPr>
                <w:sz w:val="17"/>
              </w:rPr>
              <w:t>左室拡張末期径</w:t>
              <w:br/>
              <w:t>(LVDd)</w:t>
            </w:r>
          </w:p>
        </w:tc>
        <w:tc>
          <w:tcPr>
            <w:tcW w:type="dxa" w:w="1872"/>
            <w:shd w:fill="F0FDFA"/>
            <w:tcMar>
              <w:top w:w="60" w:type="dxa"/>
              <w:bottom w:w="60" w:type="dxa"/>
              <w:left w:w="80" w:type="dxa"/>
              <w:right w:w="80" w:type="dxa"/>
            </w:tcMar>
            <w:tcBorders>
              <w:bottom w:val="single" w:sz="4" w:space="0" w:color="CCFBF1"/>
            </w:tcBorders>
          </w:tcPr>
          <w:p>
            <w:pPr>
              <w:jc w:val="center"/>
            </w:pPr>
            <w:r>
              <w:rPr>
                <w:sz w:val="17"/>
              </w:rPr>
              <w:t>-2.0 ≤ Z ≤ +2.0</w:t>
            </w:r>
          </w:p>
        </w:tc>
        <w:tc>
          <w:tcPr>
            <w:tcW w:type="dxa" w:w="2160"/>
            <w:shd w:fill="F0FDFA"/>
            <w:tcMar>
              <w:top w:w="60" w:type="dxa"/>
              <w:bottom w:w="60" w:type="dxa"/>
              <w:left w:w="80" w:type="dxa"/>
              <w:right w:w="80" w:type="dxa"/>
            </w:tcMar>
            <w:tcBorders>
              <w:bottom w:val="single" w:sz="4" w:space="0" w:color="CCFBF1"/>
            </w:tcBorders>
          </w:tcPr>
          <w:p>
            <w:pPr>
              <w:jc w:val="center"/>
            </w:pPr>
            <w:r>
              <w:rPr>
                <w:sz w:val="17"/>
              </w:rPr>
              <w:t>Z &gt; +2.0</w:t>
            </w:r>
          </w:p>
        </w:tc>
        <w:tc>
          <w:tcPr>
            <w:tcW w:type="dxa" w:w="3312"/>
            <w:shd w:fill="F0FDFA"/>
            <w:tcMar>
              <w:top w:w="60" w:type="dxa"/>
              <w:bottom w:w="60" w:type="dxa"/>
              <w:left w:w="80" w:type="dxa"/>
              <w:right w:w="80" w:type="dxa"/>
            </w:tcMar>
            <w:tcBorders>
              <w:bottom w:val="single" w:sz="4" w:space="0" w:color="CCFBF1"/>
            </w:tcBorders>
          </w:tcPr>
          <w:p>
            <w:r>
              <w:rPr>
                <w:sz w:val="17"/>
              </w:rPr>
              <w:t>急性期心筋炎（Carditis）の合併。収縮不全（FS &lt; 28%）やショック症候群（KDSS）のリスク。</w:t>
            </w:r>
          </w:p>
        </w:tc>
      </w:tr>
      <w:tr>
        <w:tc>
          <w:tcPr>
            <w:tcW w:type="dxa" w:w="2592"/>
            <w:shd w:fill="FFFFFF"/>
            <w:tcMar>
              <w:top w:w="60" w:type="dxa"/>
              <w:bottom w:w="60" w:type="dxa"/>
              <w:left w:w="80" w:type="dxa"/>
              <w:right w:w="80" w:type="dxa"/>
            </w:tcMar>
            <w:tcBorders>
              <w:bottom w:val="single" w:sz="4" w:space="0" w:color="CCFBF1"/>
            </w:tcBorders>
          </w:tcPr>
          <w:p>
            <w:r>
              <w:rPr>
                <w:sz w:val="17"/>
              </w:rPr>
              <w:t>左房前後径 / 容積</w:t>
              <w:br/>
              <w:t>(LAD / LA vol)</w:t>
            </w:r>
          </w:p>
        </w:tc>
        <w:tc>
          <w:tcPr>
            <w:tcW w:type="dxa" w:w="1872"/>
            <w:shd w:fill="FFFFFF"/>
            <w:tcMar>
              <w:top w:w="60" w:type="dxa"/>
              <w:bottom w:w="60" w:type="dxa"/>
              <w:left w:w="80" w:type="dxa"/>
              <w:right w:w="80" w:type="dxa"/>
            </w:tcMar>
            <w:tcBorders>
              <w:bottom w:val="single" w:sz="4" w:space="0" w:color="CCFBF1"/>
            </w:tcBorders>
          </w:tcPr>
          <w:p>
            <w:pPr>
              <w:jc w:val="center"/>
            </w:pPr>
            <w:r>
              <w:rPr>
                <w:sz w:val="17"/>
              </w:rPr>
              <w:t>-2.0 ≤ Z ≤ +2.0</w:t>
            </w:r>
          </w:p>
        </w:tc>
        <w:tc>
          <w:tcPr>
            <w:tcW w:type="dxa" w:w="2160"/>
            <w:shd w:fill="FFFFFF"/>
            <w:tcMar>
              <w:top w:w="60" w:type="dxa"/>
              <w:bottom w:w="60" w:type="dxa"/>
              <w:left w:w="80" w:type="dxa"/>
              <w:right w:w="80" w:type="dxa"/>
            </w:tcMar>
            <w:tcBorders>
              <w:bottom w:val="single" w:sz="4" w:space="0" w:color="CCFBF1"/>
            </w:tcBorders>
          </w:tcPr>
          <w:p>
            <w:pPr>
              <w:jc w:val="center"/>
            </w:pPr>
            <w:r>
              <w:rPr>
                <w:sz w:val="17"/>
              </w:rPr>
              <w:t>Z &gt; +2.0</w:t>
            </w:r>
          </w:p>
        </w:tc>
        <w:tc>
          <w:tcPr>
            <w:tcW w:type="dxa" w:w="3312"/>
            <w:shd w:fill="FFFFFF"/>
            <w:tcMar>
              <w:top w:w="60" w:type="dxa"/>
              <w:bottom w:w="60" w:type="dxa"/>
              <w:left w:w="80" w:type="dxa"/>
              <w:right w:w="80" w:type="dxa"/>
            </w:tcMar>
            <w:tcBorders>
              <w:bottom w:val="single" w:sz="4" w:space="0" w:color="CCFBF1"/>
            </w:tcBorders>
          </w:tcPr>
          <w:p>
            <w:r>
              <w:rPr>
                <w:sz w:val="17"/>
              </w:rPr>
              <w:t>急性期弁膜炎に伴う僧帽弁逆流（MR）や、左室拡張末期圧上昇（容量負荷・心不全）を反映。</w:t>
            </w:r>
          </w:p>
        </w:tc>
      </w:tr>
      <w:tr>
        <w:tc>
          <w:tcPr>
            <w:tcW w:type="dxa" w:w="2592"/>
            <w:shd w:fill="F0FDFA"/>
            <w:tcMar>
              <w:top w:w="60" w:type="dxa"/>
              <w:bottom w:w="60" w:type="dxa"/>
              <w:left w:w="80" w:type="dxa"/>
              <w:right w:w="80" w:type="dxa"/>
            </w:tcMar>
            <w:tcBorders>
              <w:bottom w:val="single" w:sz="4" w:space="0" w:color="CCFBF1"/>
            </w:tcBorders>
          </w:tcPr>
          <w:p>
            <w:r>
              <w:rPr>
                <w:sz w:val="17"/>
              </w:rPr>
              <w:t>大動脈基部・バルサルバ洞</w:t>
              <w:br/>
              <w:t>(Sinus of Valsalva / Ao)</w:t>
            </w:r>
          </w:p>
        </w:tc>
        <w:tc>
          <w:tcPr>
            <w:tcW w:type="dxa" w:w="1872"/>
            <w:shd w:fill="F0FDFA"/>
            <w:tcMar>
              <w:top w:w="60" w:type="dxa"/>
              <w:bottom w:w="60" w:type="dxa"/>
              <w:left w:w="80" w:type="dxa"/>
              <w:right w:w="80" w:type="dxa"/>
            </w:tcMar>
            <w:tcBorders>
              <w:bottom w:val="single" w:sz="4" w:space="0" w:color="CCFBF1"/>
            </w:tcBorders>
          </w:tcPr>
          <w:p>
            <w:pPr>
              <w:jc w:val="center"/>
            </w:pPr>
            <w:r>
              <w:rPr>
                <w:sz w:val="17"/>
              </w:rPr>
              <w:t>-2.0 ≤ Z ≤ +2.0</w:t>
            </w:r>
          </w:p>
        </w:tc>
        <w:tc>
          <w:tcPr>
            <w:tcW w:type="dxa" w:w="2160"/>
            <w:shd w:fill="F0FDFA"/>
            <w:tcMar>
              <w:top w:w="60" w:type="dxa"/>
              <w:bottom w:w="60" w:type="dxa"/>
              <w:left w:w="80" w:type="dxa"/>
              <w:right w:w="80" w:type="dxa"/>
            </w:tcMar>
            <w:tcBorders>
              <w:bottom w:val="single" w:sz="4" w:space="0" w:color="CCFBF1"/>
            </w:tcBorders>
          </w:tcPr>
          <w:p>
            <w:pPr>
              <w:jc w:val="center"/>
            </w:pPr>
            <w:r>
              <w:rPr>
                <w:sz w:val="17"/>
              </w:rPr>
              <w:t>Z &gt; +2.0</w:t>
            </w:r>
          </w:p>
        </w:tc>
        <w:tc>
          <w:tcPr>
            <w:tcW w:type="dxa" w:w="3312"/>
            <w:shd w:fill="F0FDFA"/>
            <w:tcMar>
              <w:top w:w="60" w:type="dxa"/>
              <w:bottom w:w="60" w:type="dxa"/>
              <w:left w:w="80" w:type="dxa"/>
              <w:right w:w="80" w:type="dxa"/>
            </w:tcMar>
            <w:tcBorders>
              <w:bottom w:val="single" w:sz="4" w:space="0" w:color="CCFBF1"/>
            </w:tcBorders>
          </w:tcPr>
          <w:p>
            <w:r>
              <w:rPr>
                <w:sz w:val="17"/>
              </w:rPr>
              <w:t>大動脈炎（Aortitis）・基部一過性拡張。弁輪拡大に伴うARや、IVIG不応・重症化の早期予測因子。</w:t>
            </w:r>
          </w:p>
        </w:tc>
      </w:tr>
      <w:tr>
        <w:tc>
          <w:tcPr>
            <w:tcW w:type="dxa" w:w="2592"/>
            <w:shd w:fill="FFFFFF"/>
            <w:tcMar>
              <w:top w:w="60" w:type="dxa"/>
              <w:bottom w:w="60" w:type="dxa"/>
              <w:left w:w="80" w:type="dxa"/>
              <w:right w:w="80" w:type="dxa"/>
            </w:tcMar>
            <w:tcBorders>
              <w:bottom w:val="single" w:sz="4" w:space="0" w:color="CCFBF1"/>
            </w:tcBorders>
          </w:tcPr>
          <w:p>
            <w:r>
              <w:rPr>
                <w:sz w:val="17"/>
              </w:rPr>
              <w:t>心室中隔 / 後壁厚</w:t>
              <w:br/>
              <w:t>(IVSd / LVPWd)</w:t>
            </w:r>
          </w:p>
        </w:tc>
        <w:tc>
          <w:tcPr>
            <w:tcW w:type="dxa" w:w="1872"/>
            <w:shd w:fill="FFFFFF"/>
            <w:tcMar>
              <w:top w:w="60" w:type="dxa"/>
              <w:bottom w:w="60" w:type="dxa"/>
              <w:left w:w="80" w:type="dxa"/>
              <w:right w:w="80" w:type="dxa"/>
            </w:tcMar>
            <w:tcBorders>
              <w:bottom w:val="single" w:sz="4" w:space="0" w:color="CCFBF1"/>
            </w:tcBorders>
          </w:tcPr>
          <w:p>
            <w:pPr>
              <w:jc w:val="center"/>
            </w:pPr>
            <w:r>
              <w:rPr>
                <w:sz w:val="17"/>
              </w:rPr>
              <w:t>-2.0 ≤ Z ≤ +2.0</w:t>
            </w:r>
          </w:p>
        </w:tc>
        <w:tc>
          <w:tcPr>
            <w:tcW w:type="dxa" w:w="2160"/>
            <w:shd w:fill="FFFFFF"/>
            <w:tcMar>
              <w:top w:w="60" w:type="dxa"/>
              <w:bottom w:w="60" w:type="dxa"/>
              <w:left w:w="80" w:type="dxa"/>
              <w:right w:w="80" w:type="dxa"/>
            </w:tcMar>
            <w:tcBorders>
              <w:bottom w:val="single" w:sz="4" w:space="0" w:color="CCFBF1"/>
            </w:tcBorders>
          </w:tcPr>
          <w:p>
            <w:pPr>
              <w:jc w:val="center"/>
            </w:pPr>
            <w:r>
              <w:rPr>
                <w:sz w:val="17"/>
              </w:rPr>
              <w:t>Z &gt; +2.0</w:t>
            </w:r>
          </w:p>
        </w:tc>
        <w:tc>
          <w:tcPr>
            <w:tcW w:type="dxa" w:w="3312"/>
            <w:shd w:fill="FFFFFF"/>
            <w:tcMar>
              <w:top w:w="60" w:type="dxa"/>
              <w:bottom w:w="60" w:type="dxa"/>
              <w:left w:w="80" w:type="dxa"/>
              <w:right w:w="80" w:type="dxa"/>
            </w:tcMar>
            <w:tcBorders>
              <w:bottom w:val="single" w:sz="4" w:space="0" w:color="CCFBF1"/>
            </w:tcBorders>
          </w:tcPr>
          <w:p>
            <w:r>
              <w:rPr>
                <w:sz w:val="17"/>
              </w:rPr>
              <w:t>急性期心筋間質浮腫に伴う一過性の壁肥厚。炎症の活動性を反映。</w:t>
            </w:r>
          </w:p>
        </w:tc>
      </w:tr>
    </w:tbl>
    <w:p>
      <w:pPr>
        <w:keepNext/>
        <w:spacing w:before="240" w:after="80"/>
      </w:pPr>
      <w:r>
        <w:rPr>
          <w:b/>
          <w:color w:val="1A365D"/>
          <w:sz w:val="24"/>
        </w:rPr>
        <w:t>■ 5. 心エコー計測の厳格な技術的根拠（Inner-to-Innerと心電図同期）</w:t>
      </w:r>
    </w:p>
    <w:p>
      <w:pPr>
        <w:spacing w:before="20" w:after="40"/>
        <w:ind w:left="288"/>
      </w:pPr>
      <w:r>
        <w:rPr>
          <w:b/>
        </w:rPr>
        <w:t>• Inner-to-Inner（内膜内縁間）計測の徹底：</w:t>
      </w:r>
      <w:r>
        <w:t>冠動脈周囲の炎症に伴う高輝度エコー（Perivascular brightness）や外膜を含めず、対側の内膜内縁間を血管走行に直角に計測します。ゲインを上げすぎると側方音束幅増大（ブルーミング）により内腔が塗りつぶされて過小評価されます。ダイナミックレンジは45〜55dBに絞ります。</w:t>
      </w:r>
    </w:p>
    <w:p>
      <w:pPr>
        <w:spacing w:before="20" w:after="40"/>
        <w:ind w:left="288"/>
      </w:pPr>
      <w:r>
        <w:rPr>
          <w:b/>
        </w:rPr>
        <w:t>• 拡張末期フレーム（ECG同期）でのフリーズ：</w:t>
      </w:r>
      <w:r>
        <w:t>小児の高心拍（120〜150 bpm）によるブレを抑えるため、心電図同期下の拡張末期（R波直後、または大動脈弁閉鎖後）で計測します。</w:t>
      </w:r>
    </w:p>
    <w:p>
      <w:pPr>
        <w:spacing w:before="20" w:after="40"/>
        <w:ind w:left="288"/>
      </w:pPr>
      <w:r>
        <w:rPr>
          <w:b/>
        </w:rPr>
        <w:t>• 高周波プローブとアコースティックズーム：</w:t>
      </w:r>
      <w:r>
        <w:t>乳児（&lt;10kg）は8〜12MHz高周波セクタまたはマイクロコンベックスを選択し、アコースティックズーム（RES）を用いてROIの走査線密度を高めて計測します。</w:t>
      </w:r>
    </w:p>
    <w:p>
      <w:pPr>
        <w:keepNext/>
        <w:spacing w:before="240" w:after="80"/>
      </w:pPr>
      <w:r>
        <w:rPr>
          <w:b/>
          <w:color w:val="1A365D"/>
          <w:sz w:val="24"/>
        </w:rPr>
        <w:t>■ 6. 小児科Drとの対話・カンファレンス実践トークスクリプト</w:t>
      </w:r>
    </w:p>
    <w:p>
      <w:pPr>
        <w:keepNext/>
        <w:spacing w:before="160" w:after="40"/>
      </w:pPr>
      <w:r>
        <w:rPr>
          <w:b/>
          <w:color w:val="1E40AF"/>
          <w:sz w:val="21"/>
        </w:rPr>
        <w:t>▶ シーンA：乳児初回評価（絶対径は小さく見えるがZスコアが高い）</w:t>
      </w:r>
    </w:p>
    <w:p>
      <w:pPr>
        <w:spacing w:before="40" w:after="80"/>
        <w:ind w:left="288"/>
      </w:pPr>
      <w:r>
        <w:rPr>
          <w:b/>
        </w:rPr>
        <w:t xml:space="preserve">技師: </w:t>
      </w:r>
      <w:r>
        <w:t>「先生、生後7か月（BSA 0.36 m²）の〇〇ちゃんのエコー結果です。LAD近位部の実測径は 2.2 mm ですが、小林式Zスコアで計算すると Z = +2.8（小型動脈瘤）の域に入っています。さらに、血管周囲の浮腫を反映した Perivascular brightness（輝度亢進）が明瞭に見られます。絶対径だけ見ると2mm台ですが、月齢補正するとすでに瘤形成が疑われますので、画像をマークしておきました。」</w:t>
        <w:br/>
      </w:r>
      <w:r>
        <w:rPr>
          <w:b/>
          <w:color w:val="1E40AF"/>
        </w:rPr>
        <w:t xml:space="preserve">Drの反応例: </w:t>
      </w:r>
      <w:r>
        <w:t>「2.2mmだから大丈夫かと思ったけれど、Zスコアだと+2.8もあるんだね。周囲の輝度亢進もあるなら、IVIG治療の反応を厳重にフォローしよう。」</w:t>
      </w:r>
    </w:p>
    <w:p>
      <w:pPr>
        <w:keepNext/>
        <w:spacing w:before="160" w:after="40"/>
      </w:pPr>
      <w:r>
        <w:rPr>
          <w:b/>
          <w:color w:val="1E40AF"/>
          <w:sz w:val="21"/>
        </w:rPr>
        <w:t>▶ シーンB：急性期心筋炎合併の報告（LVDd拡大と収縮能低下）</w:t>
      </w:r>
    </w:p>
    <w:p>
      <w:pPr>
        <w:spacing w:before="40" w:after="80"/>
        <w:ind w:left="288"/>
      </w:pPr>
      <w:r>
        <w:rPr>
          <w:b/>
        </w:rPr>
        <w:t xml:space="preserve">技師: </w:t>
      </w:r>
      <w:r>
        <w:t>「第4病日の〇〇ちゃんですが、冠動脈径はLAD 1.8mm（Z=+1.4）と正常内にとどまっています。しかし、左室拡張末期径（LVDd）が 31.8 mm、Pettersen式Zスコアで +2.85 と著明に拡大しており、FSも 23.8% まで低下しています。軽度MRと微量心嚢液も認め、急性期心筋炎（Carditis）を強く疑う所見です。」</w:t>
        <w:br/>
      </w:r>
      <w:r>
        <w:rPr>
          <w:b/>
          <w:color w:val="1E40AF"/>
        </w:rPr>
        <w:t xml:space="preserve">Drの反応例: </w:t>
      </w:r>
      <w:r>
        <w:t>「冠動脈だけでなくLVDd Zスコアが+2.8超で心筋炎を合併しているのか！IVIG中の循環動態と心不全兆候を厳重にモニタリングするよ。」</w:t>
      </w:r>
    </w:p>
    <w:p>
      <w:pPr>
        <w:keepNext/>
        <w:spacing w:before="160" w:after="40"/>
      </w:pPr>
      <w:r>
        <w:rPr>
          <w:b/>
          <w:color w:val="1E40AF"/>
          <w:sz w:val="21"/>
        </w:rPr>
        <w:t>▶ シーンC：当院のレポート表記基準を提案するトーク（決定打）</w:t>
      </w:r>
    </w:p>
    <w:p>
      <w:pPr>
        <w:spacing w:before="40" w:after="80"/>
        <w:ind w:left="288"/>
      </w:pPr>
      <w:r>
        <w:rPr>
          <w:b/>
        </w:rPr>
        <w:t xml:space="preserve">技師: </w:t>
      </w:r>
      <w:r>
        <w:t>「先生、当院でのZスコア運用ですが、学会推奨に基づき、冠動脈は日本人小児データに基づく『Z Score Project（LMS法）/ 小林式』、心腔・大動脈基部はエコー装置の世界標準である『Pettersen式（2D Inner-to-inner）』、体表面積は『Haycock式』で統一してよろしいでしょうか？ レポート上にも計算エンジン名を明記して運用いたします。」</w:t>
        <w:br/>
      </w:r>
      <w:r>
        <w:rPr>
          <w:b/>
          <w:color w:val="1E40AF"/>
        </w:rPr>
        <w:t xml:space="preserve">Drの反応例: </w:t>
      </w:r>
      <w:r>
        <w:t>「学会ガイドラインと装置の標準に揃えてもらえるなら一番安心だね。その方針でレポートを出してください。」</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