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Yu Gothic" w:cs="Yu Gothic" w:eastAsia="Yu Gothic" w:hAnsi="Yu Gothic"/>
          <w:b/>
          <w:bCs/>
          <w:sz w:val="24"/>
          <w:szCs w:val="24"/>
        </w:rPr>
        <w:t xml:space="preserve">小林電工株式会社 御中</w:t>
      </w:r>
    </w:p>
    <w:p>
      <w:pPr>
        <w:spacing w:after="100" w:before="600"/>
        <w:jc w:val="center"/>
      </w:pPr>
      <w:r>
        <w:rPr>
          <w:rFonts w:ascii="Yu Gothic" w:cs="Yu Gothic" w:eastAsia="Yu Gothic" w:hAnsi="Yu Gothic"/>
          <w:b/>
          <w:bCs/>
          <w:color w:val="1a2f4b"/>
          <w:sz w:val="64"/>
          <w:szCs w:val="64"/>
        </w:rPr>
        <w:t xml:space="preserve">FRANK GOLF</w:t>
      </w:r>
    </w:p>
    <w:p>
      <w:pPr>
        <w:spacing w:after="300"/>
        <w:jc w:val="center"/>
      </w:pPr>
      <w:r>
        <w:rPr>
          <w:rFonts w:ascii="Yu Gothic" w:cs="Yu Gothic" w:eastAsia="Yu Gothic" w:hAnsi="Yu Gothic"/>
          <w:color w:val="8a6d2f"/>
          <w:sz w:val="32"/>
          <w:szCs w:val="32"/>
        </w:rPr>
        <w:t xml:space="preserve">インドアゴルフ事業のご案内</w:t>
      </w:r>
    </w:p>
    <w:p>
      <w:pPr>
        <w:spacing w:after="3000"/>
        <w:jc w:val="center"/>
      </w:pPr>
      <w:r>
        <w:rPr>
          <w:rFonts w:ascii="Yu Gothic" w:cs="Yu Gothic" w:eastAsia="Yu Gothic" w:hAnsi="Yu Gothic"/>
          <w:color w:val="555555"/>
          <w:sz w:val="24"/>
          <w:szCs w:val="24"/>
        </w:rPr>
        <w:t xml:space="preserve">— 事業概要・設備計画・投資回収の考え方 —</w:t>
      </w:r>
    </w:p>
    <w:p>
      <w:pPr>
        <w:spacing w:after="120"/>
        <w:jc w:val="center"/>
      </w:pPr>
      <w:r>
        <w:rPr>
          <w:rFonts w:ascii="Yu Gothic" w:cs="Yu Gothic" w:eastAsia="Yu Gothic" w:hAnsi="Yu Gothic"/>
          <w:color w:val="555555"/>
          <w:sz w:val="21"/>
          <w:szCs w:val="21"/>
        </w:rPr>
        <w:t xml:space="preserve">2026年7月28日</w:t>
      </w:r>
    </w:p>
    <w:p>
      <w:pPr>
        <w:spacing w:after="120"/>
        <w:jc w:val="center"/>
      </w:pPr>
      <w:r>
        <w:rPr>
          <w:rFonts w:ascii="Yu Gothic" w:cs="Yu Gothic" w:eastAsia="Yu Gothic" w:hAnsi="Yu Gothic"/>
          <w:color w:val="555555"/>
          <w:sz w:val="21"/>
          <w:szCs w:val="21"/>
        </w:rPr>
        <w:t xml:space="preserve">株式会社YOZAN　代表取締役　古川 博庸</w:t>
      </w:r>
    </w:p>
    <w:p>
      <w:r>
        <w:br w:type="page"/>
      </w:r>
    </w:p>
    <w:p>
      <w:pPr>
        <w:pStyle w:val="Heading1"/>
        <w:pBdr>
          <w:bottom w:val="single" w:color="8a6d2f" w:sz="8"/>
        </w:pBdr>
        <w:spacing w:after="160" w:before="320"/>
      </w:pPr>
      <w:r>
        <w:rPr>
          <w:rFonts w:ascii="Yu Gothic" w:cs="Yu Gothic" w:eastAsia="Yu Gothic" w:hAnsi="Yu Gothic"/>
          <w:b/>
          <w:bCs/>
          <w:color w:val="1a2f4b"/>
          <w:sz w:val="30"/>
          <w:szCs w:val="30"/>
        </w:rPr>
        <w:t xml:space="preserve">1. 事業概要</w:t>
      </w:r>
    </w:p>
    <w:p>
      <w:pPr>
        <w:spacing w:after="120"/>
      </w:pPr>
      <w:r>
        <w:rPr>
          <w:rFonts w:ascii="Yu Gothic" w:cs="Yu Gothic" w:eastAsia="Yu Gothic" w:hAnsi="Yu Gothic"/>
          <w:sz w:val="21"/>
          <w:szCs w:val="21"/>
        </w:rPr>
        <w:t xml:space="preserve">FRANK GOLFは、兵庫県姫路市（土山）にて2026年9月2日にプレオープンする会員制インドアゴルフ施設です。既存店舗の居抜きを活用した省投資モデルで、宝塚市で運営中のインドアゴルフスクール「GOLF WING」（会員約180名）の運営ノウハウ・システム基盤をそのまま移植して立ち上げます。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eef1f6" w:val="clear"/>
            <w:tcMar>
              <w:top w:type="dxa" w:w="80"/>
              <w:left w:type="dxa" w:w="120"/>
              <w:bottom w:type="dxa" w:w="80"/>
              <w:right w:type="dxa" w:w="120"/>
            </w:tcMar>
          </w:tcPr>
          <w:p>
            <w:r>
              <w:rPr>
                <w:rFonts w:ascii="Yu Gothic" w:cs="Yu Gothic" w:eastAsia="Yu Gothic" w:hAnsi="Yu Gothic"/>
                <w:b/>
                <w:bCs/>
                <w:color w:val="1a2f4b"/>
                <w:sz w:val="20"/>
                <w:szCs w:val="20"/>
              </w:rPr>
              <w:t xml:space="preserve">項目</w:t>
            </w:r>
          </w:p>
        </w:tc>
        <w:tc>
          <w:tcPr>
            <w:tcW w:type="dxa" w:w="6700"/>
            <w:shd w:fill="eef1f6" w:val="clear"/>
            <w:tcMar>
              <w:top w:type="dxa" w:w="80"/>
              <w:left w:type="dxa" w:w="120"/>
              <w:bottom w:type="dxa" w:w="80"/>
              <w:right w:type="dxa" w:w="120"/>
            </w:tcMar>
          </w:tcPr>
          <w:p>
            <w:r>
              <w:rPr>
                <w:rFonts w:ascii="Yu Gothic" w:cs="Yu Gothic" w:eastAsia="Yu Gothic" w:hAnsi="Yu Gothic"/>
                <w:b/>
                <w:bCs/>
                <w:color w:val="1a2f4b"/>
                <w:sz w:val="20"/>
                <w:szCs w:val="20"/>
              </w:rPr>
              <w:t xml:space="preserve">内容</w:t>
            </w:r>
          </w:p>
        </w:tc>
      </w:tr>
      <w:tr>
        <w:tc>
          <w:tcPr>
            <w:tcW w:type="dxa" w:w="26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店舗名</w:t>
            </w:r>
          </w:p>
        </w:tc>
        <w:tc>
          <w:tcPr>
            <w:tcW w:type="dxa" w:w="6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FRANK GOLF（フランクゴルフ）</w:t>
            </w:r>
          </w:p>
        </w:tc>
      </w:tr>
      <w:tr>
        <w:tc>
          <w:tcPr>
            <w:tcW w:type="dxa" w:w="26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所在地</w:t>
            </w:r>
          </w:p>
        </w:tc>
        <w:tc>
          <w:tcPr>
            <w:tcW w:type="dxa" w:w="6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兵庫県姫路市（土山）・居抜き物件</w:t>
            </w:r>
          </w:p>
        </w:tc>
      </w:tr>
      <w:tr>
        <w:tc>
          <w:tcPr>
            <w:tcW w:type="dxa" w:w="26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開業</w:t>
            </w:r>
          </w:p>
        </w:tc>
        <w:tc>
          <w:tcPr>
            <w:tcW w:type="dxa" w:w="6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2026年9月2日 プレオープン</w:t>
            </w:r>
          </w:p>
        </w:tc>
      </w:tr>
      <w:tr>
        <w:tc>
          <w:tcPr>
            <w:tcW w:type="dxa" w:w="26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業態</w:t>
            </w:r>
          </w:p>
        </w:tc>
        <w:tc>
          <w:tcPr>
            <w:tcW w:type="dxa" w:w="6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会員制インドアゴルフ（シミュレーター練習＋レッスン＋物販）</w:t>
            </w:r>
          </w:p>
        </w:tc>
      </w:tr>
      <w:tr>
        <w:tc>
          <w:tcPr>
            <w:tcW w:type="dxa" w:w="26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打席</w:t>
            </w:r>
          </w:p>
        </w:tc>
        <w:tc>
          <w:tcPr>
            <w:tcW w:type="dxa" w:w="6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1F 2打席＋2F 3打席（計5打席）</w:t>
            </w:r>
          </w:p>
        </w:tc>
      </w:tr>
      <w:tr>
        <w:tc>
          <w:tcPr>
            <w:tcW w:type="dxa" w:w="26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営業時間</w:t>
            </w:r>
          </w:p>
        </w:tc>
        <w:tc>
          <w:tcPr>
            <w:tcW w:type="dxa" w:w="6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平日10-21時／土日祝8-20時／火曜定休（開業6ヶ月後に24時間化を計画）</w:t>
            </w:r>
          </w:p>
        </w:tc>
      </w:tr>
      <w:tr>
        <w:tc>
          <w:tcPr>
            <w:tcW w:type="dxa" w:w="26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体制</w:t>
            </w:r>
          </w:p>
        </w:tc>
        <w:tc>
          <w:tcPr>
            <w:tcW w:type="dxa" w:w="6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レッスンプロ2名＋運営スタッフ（本部YOZANがシステム・経理・集客を一括支援）</w:t>
            </w:r>
          </w:p>
        </w:tc>
      </w:tr>
    </w:tbl>
    <w:p>
      <w:pPr>
        <w:pStyle w:val="Heading1"/>
        <w:pBdr>
          <w:bottom w:val="single" w:color="8a6d2f" w:sz="8"/>
        </w:pBdr>
        <w:spacing w:after="160" w:before="320"/>
      </w:pPr>
      <w:r>
        <w:rPr>
          <w:rFonts w:ascii="Yu Gothic" w:cs="Yu Gothic" w:eastAsia="Yu Gothic" w:hAnsi="Yu Gothic"/>
          <w:b/>
          <w:bCs/>
          <w:color w:val="1a2f4b"/>
          <w:sz w:val="30"/>
          <w:szCs w:val="30"/>
        </w:rPr>
        <w:t xml:space="preserve">2. 設備計画（シミュレーター構成）</w:t>
      </w:r>
    </w:p>
    <w:p>
      <w:pPr>
        <w:spacing w:after="120"/>
      </w:pPr>
      <w:r>
        <w:rPr>
          <w:rFonts w:ascii="Yu Gothic" w:cs="Yu Gothic" w:eastAsia="Yu Gothic" w:hAnsi="Yu Gothic"/>
          <w:sz w:val="21"/>
          <w:szCs w:val="21"/>
        </w:rPr>
        <w:t xml:space="preserve">計測精度と体験価値で地域最上位を狙う構成です。姫路エリアの競合は低価格・無人型が中心のため、トッププロも使用する高精度計測器を備えた本格施設として差別化します。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00"/>
      </w:tblGrid>
      <w:tr>
        <w:tc>
          <w:tcPr>
            <w:tcW w:type="dxa" w:w="1700"/>
            <w:shd w:fill="eef1f6" w:val="clear"/>
            <w:tcMar>
              <w:top w:type="dxa" w:w="80"/>
              <w:left w:type="dxa" w:w="120"/>
              <w:bottom w:type="dxa" w:w="80"/>
              <w:right w:type="dxa" w:w="120"/>
            </w:tcMar>
          </w:tcPr>
          <w:p>
            <w:r>
              <w:rPr>
                <w:rFonts w:ascii="Yu Gothic" w:cs="Yu Gothic" w:eastAsia="Yu Gothic" w:hAnsi="Yu Gothic"/>
                <w:b/>
                <w:bCs/>
                <w:color w:val="1a2f4b"/>
                <w:sz w:val="20"/>
                <w:szCs w:val="20"/>
              </w:rPr>
              <w:t xml:space="preserve">階</w:t>
            </w:r>
          </w:p>
        </w:tc>
        <w:tc>
          <w:tcPr>
            <w:tcW w:type="dxa" w:w="3100"/>
            <w:shd w:fill="eef1f6" w:val="clear"/>
            <w:tcMar>
              <w:top w:type="dxa" w:w="80"/>
              <w:left w:type="dxa" w:w="120"/>
              <w:bottom w:type="dxa" w:w="80"/>
              <w:right w:type="dxa" w:w="120"/>
            </w:tcMar>
          </w:tcPr>
          <w:p>
            <w:r>
              <w:rPr>
                <w:rFonts w:ascii="Yu Gothic" w:cs="Yu Gothic" w:eastAsia="Yu Gothic" w:hAnsi="Yu Gothic"/>
                <w:b/>
                <w:bCs/>
                <w:color w:val="1a2f4b"/>
                <w:sz w:val="20"/>
                <w:szCs w:val="20"/>
              </w:rPr>
              <w:t xml:space="preserve">設備</w:t>
            </w:r>
          </w:p>
        </w:tc>
        <w:tc>
          <w:tcPr>
            <w:tcW w:type="dxa" w:w="4500"/>
            <w:shd w:fill="eef1f6" w:val="clear"/>
            <w:tcMar>
              <w:top w:type="dxa" w:w="80"/>
              <w:left w:type="dxa" w:w="120"/>
              <w:bottom w:type="dxa" w:w="80"/>
              <w:right w:type="dxa" w:w="120"/>
            </w:tcMar>
          </w:tcPr>
          <w:p>
            <w:r>
              <w:rPr>
                <w:rFonts w:ascii="Yu Gothic" w:cs="Yu Gothic" w:eastAsia="Yu Gothic" w:hAnsi="Yu Gothic"/>
                <w:b/>
                <w:bCs/>
                <w:color w:val="1a2f4b"/>
                <w:sz w:val="20"/>
                <w:szCs w:val="20"/>
              </w:rPr>
              <w:t xml:space="preserve">位置づけ</w:t>
            </w:r>
          </w:p>
        </w:tc>
      </w:tr>
      <w:tr>
        <w:tc>
          <w:tcPr>
            <w:tcW w:type="dxa" w:w="1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1F 左打席</w:t>
            </w:r>
          </w:p>
        </w:tc>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TrackMan 4</w:t>
            </w:r>
          </w:p>
        </w:tc>
        <w:tc>
          <w:tcPr>
            <w:tcW w:type="dxa" w:w="45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世界標準の弾道計測器。ツアープロ使用機</w:t>
            </w:r>
          </w:p>
        </w:tc>
      </w:tr>
      <w:tr>
        <w:tc>
          <w:tcPr>
            <w:tcW w:type="dxa" w:w="1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1F 右打席</w:t>
            </w:r>
          </w:p>
        </w:tc>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TrackMan 4</w:t>
            </w:r>
          </w:p>
        </w:tc>
        <w:tc>
          <w:tcPr>
            <w:tcW w:type="dxa" w:w="45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同上（左右2打席とも最上位機で統一）</w:t>
            </w:r>
          </w:p>
        </w:tc>
      </w:tr>
      <w:tr>
        <w:tc>
          <w:tcPr>
            <w:tcW w:type="dxa" w:w="1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2F</w:t>
            </w:r>
          </w:p>
        </w:tc>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OKONGOLF ×1（既設）</w:t>
            </w:r>
          </w:p>
        </w:tc>
        <w:tc>
          <w:tcPr>
            <w:tcW w:type="dxa" w:w="45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コースプレー・エンタメ利用</w:t>
            </w:r>
          </w:p>
        </w:tc>
      </w:tr>
      <w:tr>
        <w:tc>
          <w:tcPr>
            <w:tcW w:type="dxa" w:w="17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2F</w:t>
            </w:r>
          </w:p>
        </w:tc>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DTECT ×2（導入予定）</w:t>
            </w:r>
          </w:p>
        </w:tc>
        <w:tc>
          <w:tcPr>
            <w:tcW w:type="dxa" w:w="45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スイング解析・レッスン用途</w:t>
            </w:r>
          </w:p>
        </w:tc>
      </w:tr>
    </w:tbl>
    <w:p>
      <w:pPr>
        <w:spacing w:after="120"/>
      </w:pPr>
      <w:r>
        <w:rPr>
          <w:rFonts w:ascii="Yu Gothic" w:cs="Yu Gothic" w:eastAsia="Yu Gothic" w:hAnsi="Yu Gothic"/>
          <w:color w:val="555555"/>
          <w:sz w:val="21"/>
          <w:szCs w:val="21"/>
        </w:rPr>
        <w:t xml:space="preserve">シミュレーター機材は中古市場でも流動性が高く、資産価値が残りやすい設備です（後述の投資回収の考え方に関連）。</w:t>
      </w:r>
    </w:p>
    <w:p>
      <w:pPr>
        <w:pStyle w:val="Heading1"/>
        <w:pBdr>
          <w:bottom w:val="single" w:color="8a6d2f" w:sz="8"/>
        </w:pBdr>
        <w:spacing w:after="160" w:before="320"/>
      </w:pPr>
      <w:r>
        <w:rPr>
          <w:rFonts w:ascii="Yu Gothic" w:cs="Yu Gothic" w:eastAsia="Yu Gothic" w:hAnsi="Yu Gothic"/>
          <w:b/>
          <w:bCs/>
          <w:color w:val="1a2f4b"/>
          <w:sz w:val="30"/>
          <w:szCs w:val="30"/>
        </w:rPr>
        <w:t xml:space="preserve">3. 収益モデル</w:t>
      </w:r>
    </w:p>
    <w:p>
      <w:pPr>
        <w:spacing w:after="120"/>
      </w:pPr>
      <w:r>
        <w:rPr>
          <w:rFonts w:ascii="Yu Gothic" w:cs="Yu Gothic" w:eastAsia="Yu Gothic" w:hAnsi="Yu Gothic"/>
          <w:sz w:val="21"/>
          <w:szCs w:val="21"/>
        </w:rPr>
        <w:t xml:space="preserve">月会費制のストック型収益が柱です。GOLF WINGで実証済みの価格帯・運営を踏襲します（表示は税抜）。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4000"/>
      </w:tblGrid>
      <w:tr>
        <w:tc>
          <w:tcPr>
            <w:tcW w:type="dxa" w:w="3100"/>
            <w:shd w:fill="eef1f6" w:val="clear"/>
            <w:tcMar>
              <w:top w:type="dxa" w:w="80"/>
              <w:left w:type="dxa" w:w="120"/>
              <w:bottom w:type="dxa" w:w="80"/>
              <w:right w:type="dxa" w:w="120"/>
            </w:tcMar>
          </w:tcPr>
          <w:p>
            <w:r>
              <w:rPr>
                <w:rFonts w:ascii="Yu Gothic" w:cs="Yu Gothic" w:eastAsia="Yu Gothic" w:hAnsi="Yu Gothic"/>
                <w:b/>
                <w:bCs/>
                <w:color w:val="1a2f4b"/>
                <w:sz w:val="20"/>
                <w:szCs w:val="20"/>
              </w:rPr>
              <w:t xml:space="preserve">プラン</w:t>
            </w:r>
          </w:p>
        </w:tc>
        <w:tc>
          <w:tcPr>
            <w:tcW w:type="dxa" w:w="2200"/>
            <w:shd w:fill="eef1f6" w:val="clear"/>
            <w:tcMar>
              <w:top w:type="dxa" w:w="80"/>
              <w:left w:type="dxa" w:w="120"/>
              <w:bottom w:type="dxa" w:w="80"/>
              <w:right w:type="dxa" w:w="120"/>
            </w:tcMar>
          </w:tcPr>
          <w:p>
            <w:r>
              <w:rPr>
                <w:rFonts w:ascii="Yu Gothic" w:cs="Yu Gothic" w:eastAsia="Yu Gothic" w:hAnsi="Yu Gothic"/>
                <w:b/>
                <w:bCs/>
                <w:color w:val="1a2f4b"/>
                <w:sz w:val="20"/>
                <w:szCs w:val="20"/>
              </w:rPr>
              <w:t xml:space="preserve">月会費</w:t>
            </w:r>
          </w:p>
        </w:tc>
        <w:tc>
          <w:tcPr>
            <w:tcW w:type="dxa" w:w="4000"/>
            <w:shd w:fill="eef1f6" w:val="clear"/>
            <w:tcMar>
              <w:top w:type="dxa" w:w="80"/>
              <w:left w:type="dxa" w:w="120"/>
              <w:bottom w:type="dxa" w:w="80"/>
              <w:right w:type="dxa" w:w="120"/>
            </w:tcMar>
          </w:tcPr>
          <w:p>
            <w:r>
              <w:rPr>
                <w:rFonts w:ascii="Yu Gothic" w:cs="Yu Gothic" w:eastAsia="Yu Gothic" w:hAnsi="Yu Gothic"/>
                <w:b/>
                <w:bCs/>
                <w:color w:val="1a2f4b"/>
                <w:sz w:val="20"/>
                <w:szCs w:val="20"/>
              </w:rPr>
              <w:t xml:space="preserve">内容</w:t>
            </w:r>
          </w:p>
        </w:tc>
      </w:tr>
      <w:tr>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ライト会員</w:t>
            </w:r>
          </w:p>
        </w:tc>
        <w:tc>
          <w:tcPr>
            <w:tcW w:type="dxa" w:w="22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9,800円</w:t>
            </w:r>
          </w:p>
        </w:tc>
        <w:tc>
          <w:tcPr>
            <w:tcW w:type="dxa" w:w="40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平日昼間中心（月8回）</w:t>
            </w:r>
          </w:p>
        </w:tc>
      </w:tr>
      <w:tr>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レギュラー会員</w:t>
            </w:r>
          </w:p>
        </w:tc>
        <w:tc>
          <w:tcPr>
            <w:tcW w:type="dxa" w:w="22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13,800円</w:t>
            </w:r>
          </w:p>
        </w:tc>
        <w:tc>
          <w:tcPr>
            <w:tcW w:type="dxa" w:w="40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全営業日・1日1時間（主力）</w:t>
            </w:r>
          </w:p>
        </w:tc>
      </w:tr>
      <w:tr>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マスター会員</w:t>
            </w:r>
          </w:p>
        </w:tc>
        <w:tc>
          <w:tcPr>
            <w:tcW w:type="dxa" w:w="22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19,800円</w:t>
            </w:r>
          </w:p>
        </w:tc>
        <w:tc>
          <w:tcPr>
            <w:tcW w:type="dxa" w:w="40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全営業日・1日2時間</w:t>
            </w:r>
          </w:p>
        </w:tc>
      </w:tr>
      <w:tr>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法人ライト</w:t>
            </w:r>
          </w:p>
        </w:tc>
        <w:tc>
          <w:tcPr>
            <w:tcW w:type="dxa" w:w="22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39,800円</w:t>
            </w:r>
          </w:p>
        </w:tc>
        <w:tc>
          <w:tcPr>
            <w:tcW w:type="dxa" w:w="40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2名まで登録・福利厚生</w:t>
            </w:r>
          </w:p>
        </w:tc>
      </w:tr>
      <w:tr>
        <w:tc>
          <w:tcPr>
            <w:tcW w:type="dxa" w:w="31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法人プレミアム</w:t>
            </w:r>
          </w:p>
        </w:tc>
        <w:tc>
          <w:tcPr>
            <w:tcW w:type="dxa" w:w="22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59,800円</w:t>
            </w:r>
          </w:p>
        </w:tc>
        <w:tc>
          <w:tcPr>
            <w:tcW w:type="dxa" w:w="4000"/>
            <w:tcMar>
              <w:top w:type="dxa" w:w="80"/>
              <w:left w:type="dxa" w:w="120"/>
              <w:bottom w:type="dxa" w:w="80"/>
              <w:right w:type="dxa" w:w="120"/>
            </w:tcMar>
          </w:tcPr>
          <w:p>
            <w:r>
              <w:rPr>
                <w:rFonts w:ascii="Yu Gothic" w:cs="Yu Gothic" w:eastAsia="Yu Gothic" w:hAnsi="Yu Gothic"/>
                <w:b w:val="false"/>
                <w:bCs w:val="false"/>
                <w:color w:val="222222"/>
                <w:sz w:val="20"/>
                <w:szCs w:val="20"/>
              </w:rPr>
              <w:t xml:space="preserve">4名まで登録・ビジター枠付</w:t>
            </w:r>
          </w:p>
        </w:tc>
      </w:tr>
    </w:tbl>
    <w:p>
      <w:pPr>
        <w:spacing w:after="120"/>
      </w:pPr>
      <w:r>
        <w:rPr>
          <w:rFonts w:ascii="Yu Gothic" w:cs="Yu Gothic" w:eastAsia="Yu Gothic" w:hAnsi="Yu Gothic"/>
          <w:sz w:val="21"/>
          <w:szCs w:val="21"/>
        </w:rPr>
        <w:t xml:space="preserve">このほかレッスン料・ビジター利用料・物販（クラブ・用品）が上乗せとなります。</w:t>
      </w:r>
    </w:p>
    <w:p>
      <w:pPr>
        <w:pStyle w:val="Heading1"/>
        <w:pBdr>
          <w:bottom w:val="single" w:color="8a6d2f" w:sz="8"/>
        </w:pBdr>
        <w:spacing w:after="160" w:before="320"/>
      </w:pPr>
      <w:r>
        <w:rPr>
          <w:rFonts w:ascii="Yu Gothic" w:cs="Yu Gothic" w:eastAsia="Yu Gothic" w:hAnsi="Yu Gothic"/>
          <w:b/>
          <w:bCs/>
          <w:color w:val="1a2f4b"/>
          <w:sz w:val="30"/>
          <w:szCs w:val="30"/>
        </w:rPr>
        <w:t xml:space="preserve">4. 事業計画（36ヶ月・4シナリオ検証済み）</w:t>
      </w:r>
    </w:p>
    <w:p>
      <w:pPr>
        <w:spacing w:after="120"/>
      </w:pPr>
      <w:r>
        <w:rPr>
          <w:rFonts w:ascii="Yu Gothic" w:cs="Yu Gothic" w:eastAsia="Yu Gothic" w:hAnsi="Yu Gothic"/>
          <w:sz w:val="21"/>
          <w:szCs w:val="21"/>
        </w:rPr>
        <w:t xml:space="preserve">初期投資は総額1,500万円規模。楽観・標準・悲観・最悪の4シナリオで36ヶ月の資金繰りを検証済みで、標準ケースでは開業から資金ショートなく、約31ヶ月で初期投資を回収、36ヶ月目に会員175名規模へ到達する計画です。</w:t>
      </w:r>
    </w:p>
    <w:p>
      <w:pPr>
        <w:pStyle w:val="ListParagraph"/>
        <w:numPr>
          <w:ilvl w:val="0"/>
          <w:numId w:val="2"/>
        </w:numPr>
        <w:spacing w:after="120"/>
      </w:pPr>
      <w:r>
        <w:rPr>
          <w:rFonts w:ascii="Yu Gothic" w:cs="Yu Gothic" w:eastAsia="Yu Gothic" w:hAnsi="Yu Gothic"/>
          <w:sz w:val="21"/>
          <w:szCs w:val="21"/>
        </w:rPr>
        <w:t xml:space="preserve">初期集客はプレオープン時30名を目標に、先行入会キャンペーン・内覧会体験会（8月2回）・既存GOLF WING会員からの紹介・地域折込等を組み合わせて実行します。</w:t>
      </w:r>
    </w:p>
    <w:p>
      <w:pPr>
        <w:pStyle w:val="ListParagraph"/>
        <w:numPr>
          <w:ilvl w:val="0"/>
          <w:numId w:val="2"/>
        </w:numPr>
        <w:spacing w:after="120"/>
      </w:pPr>
      <w:r>
        <w:rPr>
          <w:rFonts w:ascii="Yu Gothic" w:cs="Yu Gothic" w:eastAsia="Yu Gothic" w:hAnsi="Yu Gothic"/>
          <w:sz w:val="21"/>
          <w:szCs w:val="21"/>
        </w:rPr>
        <w:t xml:space="preserve">運営はYOZANが自社開発した業務システム（会員管理・予約・課金・経理・AIによる日次経営分析）に載せるため、少人数でも高い運営品質を維持できます。</w:t>
      </w:r>
    </w:p>
    <w:p>
      <w:pPr>
        <w:pStyle w:val="Heading1"/>
        <w:pBdr>
          <w:bottom w:val="single" w:color="8a6d2f" w:sz="8"/>
        </w:pBdr>
        <w:spacing w:after="160" w:before="320"/>
      </w:pPr>
      <w:r>
        <w:rPr>
          <w:rFonts w:ascii="Yu Gothic" w:cs="Yu Gothic" w:eastAsia="Yu Gothic" w:hAnsi="Yu Gothic"/>
          <w:b/>
          <w:bCs/>
          <w:color w:val="1a2f4b"/>
          <w:sz w:val="30"/>
          <w:szCs w:val="30"/>
        </w:rPr>
        <w:t xml:space="preserve">5. 投資回収とダウンサイド・プロテクション</w:t>
      </w:r>
    </w:p>
    <w:p>
      <w:pPr>
        <w:spacing w:after="120"/>
      </w:pPr>
      <w:r>
        <w:rPr>
          <w:rFonts w:ascii="Yu Gothic" w:cs="Yu Gothic" w:eastAsia="Yu Gothic" w:hAnsi="Yu Gothic"/>
          <w:sz w:val="21"/>
          <w:szCs w:val="21"/>
        </w:rPr>
        <w:t xml:space="preserve">本事業は「うまくいけばストック収益、想定を下回った場合でも投下資本の回収余地が大きい」構造を意図して設計しています。</w:t>
      </w:r>
    </w:p>
    <w:p>
      <w:pPr>
        <w:pStyle w:val="ListParagraph"/>
        <w:numPr>
          <w:ilvl w:val="0"/>
          <w:numId w:val="2"/>
        </w:numPr>
        <w:spacing w:after="120"/>
      </w:pPr>
      <w:r>
        <w:rPr>
          <w:rFonts w:ascii="Yu Gothic" w:cs="Yu Gothic" w:eastAsia="Yu Gothic" w:hAnsi="Yu Gothic"/>
          <w:sz w:val="21"/>
          <w:szCs w:val="21"/>
        </w:rPr>
        <w:t xml:space="preserve">資産価値: TrackMan 4をはじめとする計測機材は中古市場で流動性・価格維持力が高く、撤退時にも相応の回収が見込めます。</w:t>
      </w:r>
    </w:p>
    <w:p>
      <w:pPr>
        <w:pStyle w:val="ListParagraph"/>
        <w:numPr>
          <w:ilvl w:val="0"/>
          <w:numId w:val="2"/>
        </w:numPr>
        <w:spacing w:after="120"/>
      </w:pPr>
      <w:r>
        <w:rPr>
          <w:rFonts w:ascii="Yu Gothic" w:cs="Yu Gothic" w:eastAsia="Yu Gothic" w:hAnsi="Yu Gothic"/>
          <w:sz w:val="21"/>
          <w:szCs w:val="21"/>
        </w:rPr>
        <w:t xml:space="preserve">事業譲渡: 会員基盤（月会費のストック収益）と内装・設備一式・運営システムを含む「営業中の事業」としての売却は、居抜き需要の強いインドアゴルフ業界では現実的な出口です。万一計画を大きく下回る場合は、早期に事業売却により初期費用の回収を図る方針です。</w:t>
      </w:r>
    </w:p>
    <w:p>
      <w:pPr>
        <w:pStyle w:val="ListParagraph"/>
        <w:numPr>
          <w:ilvl w:val="0"/>
          <w:numId w:val="2"/>
        </w:numPr>
        <w:spacing w:after="120"/>
      </w:pPr>
      <w:r>
        <w:rPr>
          <w:rFonts w:ascii="Yu Gothic" w:cs="Yu Gothic" w:eastAsia="Yu Gothic" w:hAnsi="Yu Gothic"/>
          <w:sz w:val="21"/>
          <w:szCs w:val="21"/>
        </w:rPr>
        <w:t xml:space="preserve">段階投資: 24時間化・防犯設備などの追加投資は開業6ヶ月後の実績を確認してから実行し、初期リスクを圧縮しています。</w:t>
      </w:r>
    </w:p>
    <w:p>
      <w:pPr>
        <w:pStyle w:val="Heading1"/>
        <w:pBdr>
          <w:bottom w:val="single" w:color="8a6d2f" w:sz="8"/>
        </w:pBdr>
        <w:spacing w:after="160" w:before="320"/>
      </w:pPr>
      <w:r>
        <w:rPr>
          <w:rFonts w:ascii="Yu Gothic" w:cs="Yu Gothic" w:eastAsia="Yu Gothic" w:hAnsi="Yu Gothic"/>
          <w:b/>
          <w:bCs/>
          <w:color w:val="1a2f4b"/>
          <w:sz w:val="30"/>
          <w:szCs w:val="30"/>
        </w:rPr>
        <w:t xml:space="preserve">6. 小林電工様にご相談したいこと</w:t>
      </w:r>
    </w:p>
    <w:p>
      <w:pPr>
        <w:spacing w:after="120"/>
      </w:pPr>
      <w:r>
        <w:rPr>
          <w:rFonts w:ascii="Yu Gothic" w:cs="Yu Gothic" w:eastAsia="Yu Gothic" w:hAnsi="Yu Gothic"/>
          <w:sz w:val="21"/>
          <w:szCs w:val="21"/>
        </w:rPr>
        <w:t xml:space="preserve">本事業の趣旨にご賛同いただける場合、以下の形でのご協力・ご縁を頂戴できれば幸いです。詳細は面談にてご相談させてください。</w:t>
      </w:r>
    </w:p>
    <w:p>
      <w:pPr>
        <w:pStyle w:val="ListParagraph"/>
        <w:numPr>
          <w:ilvl w:val="0"/>
          <w:numId w:val="2"/>
        </w:numPr>
        <w:spacing w:after="120"/>
      </w:pPr>
      <w:r>
        <w:rPr>
          <w:rFonts w:ascii="Yu Gothic" w:cs="Yu Gothic" w:eastAsia="Yu Gothic" w:hAnsi="Yu Gothic"/>
          <w:sz w:val="21"/>
          <w:szCs w:val="21"/>
        </w:rPr>
        <w:t xml:space="preserve">電気設備工事（打席電源・分電盤・照明・24時間化に向けた設備）のご協力</w:t>
      </w:r>
    </w:p>
    <w:p>
      <w:pPr>
        <w:pStyle w:val="ListParagraph"/>
        <w:numPr>
          <w:ilvl w:val="0"/>
          <w:numId w:val="2"/>
        </w:numPr>
        <w:spacing w:after="120"/>
      </w:pPr>
      <w:r>
        <w:rPr>
          <w:rFonts w:ascii="Yu Gothic" w:cs="Yu Gothic" w:eastAsia="Yu Gothic" w:hAnsi="Yu Gothic"/>
          <w:sz w:val="21"/>
          <w:szCs w:val="21"/>
        </w:rPr>
        <w:t xml:space="preserve">法人会員（福利厚生・接待利用）としてのご利用</w:t>
      </w:r>
    </w:p>
    <w:p>
      <w:pPr>
        <w:pStyle w:val="ListParagraph"/>
        <w:numPr>
          <w:ilvl w:val="0"/>
          <w:numId w:val="2"/>
        </w:numPr>
        <w:spacing w:after="120"/>
      </w:pPr>
      <w:r>
        <w:rPr>
          <w:rFonts w:ascii="Yu Gothic" w:cs="Yu Gothic" w:eastAsia="Yu Gothic" w:hAnsi="Yu Gothic"/>
          <w:sz w:val="21"/>
          <w:szCs w:val="21"/>
        </w:rPr>
        <w:t xml:space="preserve">地域企業ネットワークでのご紹介</w:t>
      </w:r>
    </w:p>
    <w:p>
      <w:pPr>
        <w:spacing w:before="400"/>
      </w:pPr>
    </w:p>
    <w:p>
      <w:pPr>
        <w:spacing w:after="120"/>
      </w:pPr>
      <w:r>
        <w:rPr>
          <w:rFonts w:ascii="Yu Gothic" w:cs="Yu Gothic" w:eastAsia="Yu Gothic" w:hAnsi="Yu Gothic"/>
          <w:color w:val="555555"/>
          <w:sz w:val="18"/>
          <w:szCs w:val="18"/>
        </w:rPr>
        <w:t xml:space="preserve">本資料の数値は2026年7月時点の計画値です。詳細な収支計画書（月次36ヶ月・シナリオ別）は別途ご用意しております。</w:t>
      </w:r>
    </w:p>
    <w:sectPr>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2026-07-25T14:43:42.986Z</dcterms:created>
  <dcterms:modified xsi:type="dcterms:W3CDTF">2026-07-25T14:43:42.986Z</dcterms:modified>
</cp:coreProperties>
</file>

<file path=docProps/custom.xml><?xml version="1.0" encoding="utf-8"?>
<Properties xmlns="http://schemas.openxmlformats.org/officeDocument/2006/custom-properties" xmlns:vt="http://schemas.openxmlformats.org/officeDocument/2006/docPropsVTypes"/>
</file>