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Arial" w:hAnsi="Arial"/>
          <w:rFonts w:ascii="Arial" w:hAnsi="Arial" w:eastAsia="Microsoft JhengHei"/>
          <w:b/>
          <w:color w:val="2E7D32"/>
          <w:sz w:val="56"/>
        </w:rPr>
        <w:t>星光電子製造廠</w:t>
        <w:br/>
        <w:br/>
        <w:t>2025 年度企業永續報告書草稿</w:t>
        <w:br/>
      </w:r>
    </w:p>
    <w:p>
      <w:pPr>
        <w:spacing w:after="3600"/>
        <w:jc w:val="center"/>
      </w:pPr>
      <w:r>
        <w:rPr>
          <w:rFonts w:ascii="Arial" w:hAnsi="Arial"/>
          <w:rFonts w:ascii="Arial" w:hAnsi="Arial" w:eastAsia="Microsoft JhengHei"/>
          <w:i/>
          <w:color w:val="1565C0"/>
          <w:sz w:val="26"/>
        </w:rPr>
        <w:t>GRI 永續性報導準則 (GRI Standards) 合規報告書初稿</w:t>
      </w:r>
    </w:p>
    <w:p>
      <w:pPr>
        <w:spacing w:line="360" w:lineRule="auto"/>
        <w:jc w:val="center"/>
      </w:pPr>
      <w:r>
        <w:rPr>
          <w:rFonts w:ascii="Arial" w:hAnsi="Arial"/>
          <w:rFonts w:ascii="Arial" w:hAnsi="Arial" w:eastAsia="Microsoft JhengHei"/>
          <w:color w:val="5A5A5A"/>
          <w:sz w:val="21"/>
        </w:rPr>
        <w:t>報告年度：2025 年度</w:t>
        <w:br/>
        <w:t>報導核心：多指標綜合永續報告書</w:t>
        <w:br/>
        <w:t>製表單位：ESG 企業永續發展小組</w:t>
        <w:br/>
        <w:t>發布時間：地端 AI 自動生成系統自動輸出</w:t>
        <w:br/>
      </w:r>
    </w:p>
    <w:p>
      <w:r>
        <w:br w:type="page"/>
      </w:r>
    </w:p>
    <w:p>
      <w:pPr>
        <w:keepNext/>
        <w:spacing w:before="360" w:after="160"/>
      </w:pPr>
      <w:r>
        <w:rPr>
          <w:rFonts w:ascii="Arial" w:hAnsi="Arial"/>
          <w:rFonts w:ascii="Arial" w:hAnsi="Arial" w:eastAsia="Microsoft JhengHei"/>
          <w:b/>
          <w:color w:val="2E7D32"/>
          <w:sz w:val="36"/>
        </w:rPr>
        <w:t>目錄 (Table of Contents)</w:t>
      </w:r>
    </w:p>
    <w:p>
      <w:pPr>
        <w:spacing w:line="384" w:lineRule="auto"/>
      </w:pPr>
      <w:r>
        <w:rPr>
          <w:rFonts w:ascii="Arial" w:hAnsi="Arial"/>
          <w:rFonts w:ascii="Arial" w:hAnsi="Arial" w:eastAsia="Microsoft JhengHei"/>
          <w:color w:val="212121"/>
          <w:sz w:val="22"/>
        </w:rPr>
        <w:t>一、 董事長致詞 ................................................................................................ 3</w:t>
        <w:br/>
        <w:t>二、 關於本報告書 ............................................................................................. 4</w:t>
        <w:br/>
        <w:t>三、 GRI 305：溫室氣體排放量揭露 (Emissions) ............................................................................ 5</w:t>
        <w:br/>
        <w:t>四、 GRI 404：培訓與教育 (Training &amp; Education) ............................................................................ 7</w:t>
        <w:br/>
        <w:t>附錄、 GRI 揭露指標索引對照表 .............................................................................. 9</w:t>
        <w:br/>
      </w:r>
    </w:p>
    <w:p>
      <w:r>
        <w:br w:type="page"/>
      </w:r>
    </w:p>
    <w:p>
      <w:pPr>
        <w:keepNext/>
        <w:spacing w:before="360" w:after="160"/>
      </w:pPr>
      <w:r>
        <w:rPr>
          <w:rFonts w:ascii="Arial" w:hAnsi="Arial"/>
          <w:rFonts w:ascii="Arial" w:hAnsi="Arial" w:eastAsia="Microsoft JhengHei"/>
          <w:b/>
          <w:color w:val="2E7D32"/>
          <w:sz w:val="36"/>
        </w:rPr>
        <w:t>一、 董事長致詞</w:t>
      </w:r>
    </w:p>
    <w:p>
      <w:pPr>
        <w:spacing w:line="312" w:lineRule="auto" w:after="160"/>
        <w:jc w:val="both"/>
      </w:pPr>
      <w:r>
        <w:rPr>
          <w:rFonts w:ascii="Arial" w:hAnsi="Arial"/>
          <w:rFonts w:ascii="Arial" w:hAnsi="Arial" w:eastAsia="Microsoft JhengHei"/>
          <w:color w:val="212121"/>
          <w:sz w:val="22"/>
        </w:rPr>
        <w:t>各位夥伴與關心本公司的持份者：</w:t>
      </w:r>
    </w:p>
    <w:p>
      <w:pPr>
        <w:spacing w:line="312" w:lineRule="auto" w:after="160"/>
        <w:jc w:val="both"/>
      </w:pPr>
      <w:r>
        <w:rPr>
          <w:rFonts w:ascii="Arial" w:hAnsi="Arial"/>
          <w:rFonts w:ascii="Arial" w:hAnsi="Arial" w:eastAsia="Microsoft JhengHei"/>
          <w:color w:val="212121"/>
          <w:sz w:val="22"/>
        </w:rPr>
      </w:r>
    </w:p>
    <w:p>
      <w:pPr>
        <w:spacing w:line="312" w:lineRule="auto" w:after="160"/>
        <w:jc w:val="both"/>
      </w:pPr>
      <w:r>
        <w:rPr>
          <w:rFonts w:ascii="Arial" w:hAnsi="Arial"/>
          <w:rFonts w:ascii="Arial" w:hAnsi="Arial" w:eastAsia="Microsoft JhengHei"/>
          <w:color w:val="212121"/>
          <w:sz w:val="22"/>
        </w:rPr>
        <w:t>在過去的一年中，全球面臨氣候變遷帶來的嚴峻挑戰，ESG 永續發展已不僅是企業的社會責任，更攸關企業在市場中的生存韌性。 在 2025 年度，本公司持續優化內部治理體系，以綠色製造與人本發展為核心雙軸。 本報告書詳實揭露了我們在溫室氣體減排 (GRI 305) 以及員工職涯培訓與教育 (GRI 404) 的具體實踐成果。 我們深信，透過落實低碳製程與優質的人才教育計畫，我們將引領企業航向永續淨零的綠色未來。</w:t>
      </w:r>
    </w:p>
    <w:p>
      <w:r>
        <w:br w:type="page"/>
      </w:r>
    </w:p>
    <w:p>
      <w:pPr>
        <w:keepNext/>
        <w:spacing w:before="360" w:after="160"/>
      </w:pPr>
      <w:r>
        <w:rPr>
          <w:rFonts w:ascii="Arial" w:hAnsi="Arial"/>
          <w:rFonts w:ascii="Arial" w:hAnsi="Arial" w:eastAsia="Microsoft JhengHei"/>
          <w:b/>
          <w:color w:val="2E7D32"/>
          <w:sz w:val="36"/>
        </w:rPr>
        <w:t>二、 關於本報告書</w:t>
      </w:r>
    </w:p>
    <w:p>
      <w:pPr>
        <w:spacing w:line="312" w:lineRule="auto" w:after="160"/>
        <w:jc w:val="both"/>
      </w:pPr>
      <w:r>
        <w:rPr>
          <w:rFonts w:ascii="Arial" w:hAnsi="Arial"/>
          <w:rFonts w:ascii="Arial" w:hAnsi="Arial" w:eastAsia="Microsoft JhengHei"/>
          <w:color w:val="212121"/>
          <w:sz w:val="22"/>
        </w:rPr>
        <w:t>本報告書為 星光電子製造廠 發布之年度企業永續報告書，揭露期間為西元 2025 年 1 月 1 日至 12 月 31 日止之永續績效。 本報告書依循全球永續性標準理事會 (GSSB) 發布之 GRI 永續報導準則 (GRI Standards) 進行編撰，重點揭露環境面向之排放 (GRI 305) 及社會面向之培訓與教育 (GRI 404) 指標。 本報告書所包含之財務與非財務數據，皆經由內部跨部門小組進行收集、清洗與確信審核，並以地端 AI 安全防護生成核心質化內文。 未來本報告書將維持每年定期發布，以向社會大眾展示本公司實踐永續發展之堅定承諾。</w:t>
      </w:r>
    </w:p>
    <w:p>
      <w:r>
        <w:br w:type="page"/>
      </w:r>
    </w:p>
    <w:p>
      <w:pPr>
        <w:keepNext/>
        <w:spacing w:before="360" w:after="160"/>
      </w:pPr>
      <w:r>
        <w:rPr>
          <w:rFonts w:ascii="Arial" w:hAnsi="Arial"/>
          <w:rFonts w:ascii="Arial" w:hAnsi="Arial" w:eastAsia="Microsoft JhengHei"/>
          <w:b/>
          <w:color w:val="2E7D32"/>
          <w:sz w:val="36"/>
        </w:rPr>
        <w:t>七、 GRI 305：溫室氣體排放量揭露</w:t>
      </w:r>
    </w:p>
    <w:p>
      <w:pPr>
        <w:keepNext/>
        <w:spacing w:before="280" w:after="120"/>
      </w:pPr>
      <w:r>
        <w:rPr>
          <w:rFonts w:ascii="Arial" w:hAnsi="Arial"/>
          <w:rFonts w:ascii="Arial" w:hAnsi="Arial" w:eastAsia="Microsoft JhengHei"/>
          <w:b/>
          <w:color w:val="1565C0"/>
          <w:sz w:val="28"/>
        </w:rPr>
        <w:t>3.1.1 範疇一（直接溫室氣體排放）來源與數據深度解讀</w:t>
      </w:r>
    </w:p>
    <w:p>
      <w:pPr>
        <w:spacing w:line="312" w:lineRule="auto" w:after="160"/>
        <w:jc w:val="both"/>
      </w:pPr>
      <w:r>
        <w:rPr>
          <w:rFonts w:ascii="Arial" w:hAnsi="Arial"/>
          <w:rFonts w:ascii="Arial" w:hAnsi="Arial" w:eastAsia="Microsoft JhengHei"/>
          <w:color w:val="212121"/>
          <w:sz w:val="22"/>
        </w:rPr>
        <w:t>依據 GRI 305 溫室氣體排放揭露準則，星光電子製造廠 針對 2025 年度的直接溫室氣體排放（範疇一）進行了精準的盤查工作。 本公司的範疇一排放主要源自於營運廠區內的直接化石燃料燃燒與逸散源，經盤查明細包括：「柴油發電機」排放量為 150.5 公噸 CO2e, 「冷媒逸散」排放量為 45.2 公噸 CO2e。 範疇一合計直接排放量共計達到 195.7 公噸 CO2e。 本公司致力於源頭減量，已著手評估將老舊柴油發電機汰換為低排放機型，並定期實施冷媒洩漏檢測，確保範疇一直接排放量維持在最優化水平。</w:t>
      </w:r>
    </w:p>
    <w:p>
      <w:pPr>
        <w:keepNext/>
        <w:spacing w:before="280" w:after="120"/>
      </w:pPr>
      <w:r>
        <w:rPr>
          <w:rFonts w:ascii="Arial" w:hAnsi="Arial"/>
          <w:rFonts w:ascii="Arial" w:hAnsi="Arial" w:eastAsia="Microsoft JhengHei"/>
          <w:b/>
          <w:color w:val="1565C0"/>
          <w:sz w:val="28"/>
        </w:rPr>
        <w:t>3.1.2 範疇二（能源間接溫室氣體排放）外購電力分析與減碳路徑</w:t>
      </w:r>
    </w:p>
    <w:p>
      <w:pPr>
        <w:spacing w:line="312" w:lineRule="auto" w:after="160"/>
        <w:jc w:val="both"/>
      </w:pPr>
      <w:r>
        <w:rPr>
          <w:rFonts w:ascii="Arial" w:hAnsi="Arial"/>
          <w:rFonts w:ascii="Arial" w:hAnsi="Arial" w:eastAsia="Microsoft JhengHei"/>
          <w:color w:val="212121"/>
          <w:sz w:val="22"/>
        </w:rPr>
        <w:t>針對能源間接溫室氣體排放（範疇二），星光電子製造廠 於 2025 年度的排放源主要為營運廠區與辦公大樓之「外購電力」， 其外購電力間接碳排放量共計達 3250.8 公噸 CO2e。 由於外購電力占本公司整體溫室氣體排放量之大宗，電力能效的控制與減量為本公司綠色轉型的核心工作。 本公司目前正全面落實廠區照明與空調系統之節能改造，推廣智慧電網管理，並評估於廠區屋頂鋪設太陽能光電系統與採購再生能源憑證（綠電），以加速推動能源轉型，降低範疇二之環境負擔。</w:t>
      </w:r>
    </w:p>
    <w:p>
      <w:pPr>
        <w:keepNext/>
        <w:spacing w:before="280" w:after="120"/>
      </w:pPr>
      <w:r>
        <w:rPr>
          <w:rFonts w:ascii="Arial" w:hAnsi="Arial"/>
          <w:rFonts w:ascii="Arial" w:hAnsi="Arial" w:eastAsia="Microsoft JhengHei"/>
          <w:b/>
          <w:color w:val="1565C0"/>
          <w:sz w:val="28"/>
        </w:rPr>
        <w:t>3.1.2.2 溫室氣體排放細部數據表</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rFonts w:ascii="Arial" w:hAnsi="Arial" w:eastAsia="Microsoft JhengHei"/>
                <w:b/>
                <w:sz w:val="19"/>
                <w:rFonts w:ascii="Arial" w:hAnsi="Arial" w:eastAsia="Microsoft JhengHei"/>
              </w:rPr>
              <w:t>範疇別</w:t>
            </w:r>
          </w:p>
        </w:tc>
        <w:tc>
          <w:tcPr>
            <w:tcW w:type="dxa" w:w="2340"/>
          </w:tcPr>
          <w:p>
            <w:r>
              <w:rPr>
                <w:rFonts w:ascii="Arial" w:hAnsi="Arial"/>
                <w:rFonts w:ascii="Arial" w:hAnsi="Arial" w:eastAsia="Microsoft JhengHei"/>
                <w:b/>
                <w:sz w:val="19"/>
                <w:rFonts w:ascii="Arial" w:hAnsi="Arial" w:eastAsia="Microsoft JhengHei"/>
              </w:rPr>
              <w:t>排放源名稱</w:t>
            </w:r>
          </w:p>
        </w:tc>
        <w:tc>
          <w:tcPr>
            <w:tcW w:type="dxa" w:w="2340"/>
          </w:tcPr>
          <w:p>
            <w:r>
              <w:rPr>
                <w:rFonts w:ascii="Arial" w:hAnsi="Arial"/>
                <w:rFonts w:ascii="Arial" w:hAnsi="Arial" w:eastAsia="Microsoft JhengHei"/>
                <w:b/>
                <w:sz w:val="19"/>
                <w:rFonts w:ascii="Arial" w:hAnsi="Arial" w:eastAsia="Microsoft JhengHei"/>
              </w:rPr>
              <w:t>碳排放量 (公噸 CO2e)</w:t>
            </w:r>
          </w:p>
        </w:tc>
        <w:tc>
          <w:tcPr>
            <w:tcW w:type="dxa" w:w="2340"/>
          </w:tcPr>
          <w:p>
            <w:r>
              <w:rPr>
                <w:rFonts w:ascii="Arial" w:hAnsi="Arial"/>
                <w:rFonts w:ascii="Arial" w:hAnsi="Arial" w:eastAsia="Microsoft JhengHei"/>
                <w:b/>
                <w:sz w:val="19"/>
                <w:rFonts w:ascii="Arial" w:hAnsi="Arial" w:eastAsia="Microsoft JhengHei"/>
              </w:rPr>
              <w:t>百分比 (%)</w:t>
            </w:r>
          </w:p>
        </w:tc>
      </w:tr>
      <w:tr>
        <w:tc>
          <w:tcPr>
            <w:tcW w:type="dxa" w:w="2340"/>
          </w:tcPr>
          <w:p>
            <w:r>
              <w:rPr>
                <w:rFonts w:ascii="Arial" w:hAnsi="Arial"/>
                <w:rFonts w:ascii="Arial" w:hAnsi="Arial" w:eastAsia="Microsoft JhengHei"/>
                <w:sz w:val="19"/>
              </w:rPr>
              <w:t>範疇一 (直接)</w:t>
            </w:r>
          </w:p>
        </w:tc>
        <w:tc>
          <w:tcPr>
            <w:tcW w:type="dxa" w:w="2340"/>
          </w:tcPr>
          <w:p>
            <w:r>
              <w:rPr>
                <w:rFonts w:ascii="Arial" w:hAnsi="Arial"/>
                <w:rFonts w:ascii="Arial" w:hAnsi="Arial" w:eastAsia="Microsoft JhengHei"/>
                <w:sz w:val="19"/>
              </w:rPr>
              <w:t>柴油發電機</w:t>
            </w:r>
          </w:p>
        </w:tc>
        <w:tc>
          <w:tcPr>
            <w:tcW w:type="dxa" w:w="2340"/>
          </w:tcPr>
          <w:p>
            <w:r>
              <w:rPr>
                <w:rFonts w:ascii="Arial" w:hAnsi="Arial"/>
                <w:rFonts w:ascii="Arial" w:hAnsi="Arial" w:eastAsia="Microsoft JhengHei"/>
                <w:sz w:val="19"/>
              </w:rPr>
              <w:t>150.5</w:t>
            </w:r>
          </w:p>
        </w:tc>
        <w:tc>
          <w:tcPr>
            <w:tcW w:type="dxa" w:w="2340"/>
          </w:tcPr>
          <w:p>
            <w:r>
              <w:rPr>
                <w:rFonts w:ascii="Arial" w:hAnsi="Arial"/>
                <w:rFonts w:ascii="Arial" w:hAnsi="Arial" w:eastAsia="Microsoft JhengHei"/>
                <w:sz w:val="19"/>
              </w:rPr>
              <w:t>4.4%</w:t>
            </w:r>
          </w:p>
        </w:tc>
      </w:tr>
      <w:tr>
        <w:tc>
          <w:tcPr>
            <w:tcW w:type="dxa" w:w="2340"/>
          </w:tcPr>
          <w:p>
            <w:r>
              <w:rPr>
                <w:rFonts w:ascii="Arial" w:hAnsi="Arial"/>
                <w:rFonts w:ascii="Arial" w:hAnsi="Arial" w:eastAsia="Microsoft JhengHei"/>
                <w:sz w:val="19"/>
              </w:rPr>
              <w:t>範疇一 (直接)</w:t>
            </w:r>
          </w:p>
        </w:tc>
        <w:tc>
          <w:tcPr>
            <w:tcW w:type="dxa" w:w="2340"/>
          </w:tcPr>
          <w:p>
            <w:r>
              <w:rPr>
                <w:rFonts w:ascii="Arial" w:hAnsi="Arial"/>
                <w:rFonts w:ascii="Arial" w:hAnsi="Arial" w:eastAsia="Microsoft JhengHei"/>
                <w:sz w:val="19"/>
              </w:rPr>
              <w:t>冷媒逸散</w:t>
            </w:r>
          </w:p>
        </w:tc>
        <w:tc>
          <w:tcPr>
            <w:tcW w:type="dxa" w:w="2340"/>
          </w:tcPr>
          <w:p>
            <w:r>
              <w:rPr>
                <w:rFonts w:ascii="Arial" w:hAnsi="Arial"/>
                <w:rFonts w:ascii="Arial" w:hAnsi="Arial" w:eastAsia="Microsoft JhengHei"/>
                <w:sz w:val="19"/>
              </w:rPr>
              <w:t>45.2</w:t>
            </w:r>
          </w:p>
        </w:tc>
        <w:tc>
          <w:tcPr>
            <w:tcW w:type="dxa" w:w="2340"/>
          </w:tcPr>
          <w:p>
            <w:r>
              <w:rPr>
                <w:rFonts w:ascii="Arial" w:hAnsi="Arial"/>
                <w:rFonts w:ascii="Arial" w:hAnsi="Arial" w:eastAsia="Microsoft JhengHei"/>
                <w:sz w:val="19"/>
              </w:rPr>
              <w:t>1.3%</w:t>
            </w:r>
          </w:p>
        </w:tc>
      </w:tr>
      <w:tr>
        <w:tc>
          <w:tcPr>
            <w:tcW w:type="dxa" w:w="2340"/>
          </w:tcPr>
          <w:p>
            <w:r>
              <w:rPr>
                <w:rFonts w:ascii="Arial" w:hAnsi="Arial"/>
                <w:rFonts w:ascii="Arial" w:hAnsi="Arial" w:eastAsia="Microsoft JhengHei"/>
                <w:sz w:val="19"/>
              </w:rPr>
              <w:t>範疇二 (間接)</w:t>
            </w:r>
          </w:p>
        </w:tc>
        <w:tc>
          <w:tcPr>
            <w:tcW w:type="dxa" w:w="2340"/>
          </w:tcPr>
          <w:p>
            <w:r>
              <w:rPr>
                <w:rFonts w:ascii="Arial" w:hAnsi="Arial"/>
                <w:rFonts w:ascii="Arial" w:hAnsi="Arial" w:eastAsia="Microsoft JhengHei"/>
                <w:sz w:val="19"/>
              </w:rPr>
              <w:t>外購電力</w:t>
            </w:r>
          </w:p>
        </w:tc>
        <w:tc>
          <w:tcPr>
            <w:tcW w:type="dxa" w:w="2340"/>
          </w:tcPr>
          <w:p>
            <w:r>
              <w:rPr>
                <w:rFonts w:ascii="Arial" w:hAnsi="Arial"/>
                <w:rFonts w:ascii="Arial" w:hAnsi="Arial" w:eastAsia="Microsoft JhengHei"/>
                <w:sz w:val="19"/>
              </w:rPr>
              <w:t>3,250.8</w:t>
            </w:r>
          </w:p>
        </w:tc>
        <w:tc>
          <w:tcPr>
            <w:tcW w:type="dxa" w:w="2340"/>
          </w:tcPr>
          <w:p>
            <w:r>
              <w:rPr>
                <w:rFonts w:ascii="Arial" w:hAnsi="Arial"/>
                <w:rFonts w:ascii="Arial" w:hAnsi="Arial" w:eastAsia="Microsoft JhengHei"/>
                <w:sz w:val="19"/>
              </w:rPr>
              <w:t>94.3%</w:t>
            </w:r>
          </w:p>
        </w:tc>
      </w:tr>
      <w:tr>
        <w:tc>
          <w:tcPr>
            <w:tcW w:type="dxa" w:w="2340"/>
          </w:tcPr>
          <w:p>
            <w:r>
              <w:rPr>
                <w:rFonts w:ascii="Arial" w:hAnsi="Arial"/>
                <w:rFonts w:ascii="Arial" w:hAnsi="Arial" w:eastAsia="Microsoft JhengHei"/>
                <w:sz w:val="19"/>
              </w:rPr>
              <w:t>範疇一與範疇二總計</w:t>
            </w:r>
          </w:p>
        </w:tc>
        <w:tc>
          <w:tcPr>
            <w:tcW w:type="dxa" w:w="2340"/>
          </w:tcPr>
          <w:p>
            <w:r>
              <w:rPr>
                <w:rFonts w:ascii="Arial" w:hAnsi="Arial"/>
                <w:rFonts w:ascii="Arial" w:hAnsi="Arial" w:eastAsia="Microsoft JhengHei"/>
                <w:sz w:val="19"/>
              </w:rPr>
              <w:t>所有排放源</w:t>
            </w:r>
          </w:p>
        </w:tc>
        <w:tc>
          <w:tcPr>
            <w:tcW w:type="dxa" w:w="2340"/>
          </w:tcPr>
          <w:p>
            <w:r>
              <w:rPr>
                <w:rFonts w:ascii="Arial" w:hAnsi="Arial"/>
                <w:rFonts w:ascii="Arial" w:hAnsi="Arial" w:eastAsia="Microsoft JhengHei"/>
                <w:sz w:val="19"/>
              </w:rPr>
              <w:t>3,446.5</w:t>
            </w:r>
          </w:p>
        </w:tc>
        <w:tc>
          <w:tcPr>
            <w:tcW w:type="dxa" w:w="2340"/>
          </w:tcPr>
          <w:p>
            <w:r>
              <w:rPr>
                <w:rFonts w:ascii="Arial" w:hAnsi="Arial"/>
                <w:rFonts w:ascii="Arial" w:hAnsi="Arial" w:eastAsia="Microsoft JhengHei"/>
                <w:sz w:val="19"/>
              </w:rPr>
              <w:t>100.0%</w:t>
            </w:r>
          </w:p>
        </w:tc>
      </w:tr>
    </w:tbl>
    <w:p>
      <w:pPr>
        <w:spacing w:before="200"/>
      </w:pPr>
    </w:p>
    <w:p>
      <w:r>
        <w:br w:type="page"/>
      </w:r>
    </w:p>
    <w:p>
      <w:pPr>
        <w:keepNext/>
        <w:spacing w:before="280" w:after="120"/>
      </w:pPr>
      <w:r>
        <w:rPr>
          <w:rFonts w:ascii="Arial" w:hAnsi="Arial"/>
          <w:rFonts w:ascii="Arial" w:hAnsi="Arial" w:eastAsia="Microsoft JhengHei"/>
          <w:b/>
          <w:color w:val="1565C0"/>
          <w:sz w:val="28"/>
        </w:rPr>
        <w:t>3.1.3 年度排放變動率（YoY）與減量成效評估</w:t>
      </w:r>
    </w:p>
    <w:p>
      <w:pPr>
        <w:spacing w:line="312" w:lineRule="auto" w:after="160"/>
        <w:jc w:val="both"/>
      </w:pPr>
      <w:r>
        <w:rPr>
          <w:rFonts w:ascii="Arial" w:hAnsi="Arial"/>
          <w:rFonts w:ascii="Arial" w:hAnsi="Arial" w:eastAsia="Microsoft JhengHei"/>
          <w:color w:val="212121"/>
          <w:sz w:val="22"/>
        </w:rPr>
        <w:t>在年度排放變動分析方面，星光電子製造廠 統計 2025 年度的範疇一與範疇二溫室氣體排放總量共計為 3446.5 公噸 CO2e。 相較於基準年度，排放總量減少了 3.5%，顯示本公司在落實能源節約與低碳營運轉型上取得實質進展。 此項減碳成效源自跨部門小組協同合作，積極推動節能製程改善及低碳材料導入。 本公司將持續深化低碳工藝的研發與再生能源之應用，健全低碳永續經營模式，朝向全球倡議之淨零碳排終極目標穩健前進。</w:t>
      </w:r>
    </w:p>
    <w:p>
      <w:pPr>
        <w:keepNext/>
        <w:spacing w:before="280" w:after="120"/>
      </w:pPr>
      <w:r>
        <w:rPr>
          <w:rFonts w:ascii="Arial" w:hAnsi="Arial"/>
          <w:rFonts w:ascii="Arial" w:hAnsi="Arial" w:eastAsia="Microsoft JhengHei"/>
          <w:b/>
          <w:color w:val="1565C0"/>
          <w:sz w:val="28"/>
        </w:rPr>
        <w:t>3.1.3.2 排放源與範疇占比可視化</w:t>
      </w:r>
    </w:p>
    <w:p>
      <w:pPr>
        <w:jc w:val="center"/>
      </w:pPr>
      <w:r>
        <w:drawing>
          <wp:inline xmlns:a="http://schemas.openxmlformats.org/drawingml/2006/main" xmlns:pic="http://schemas.openxmlformats.org/drawingml/2006/picture">
            <wp:extent cx="4572000" cy="3934185"/>
            <wp:docPr id="1" name="Picture 1"/>
            <wp:cNvGraphicFramePr>
              <a:graphicFrameLocks noChangeAspect="1"/>
            </wp:cNvGraphicFramePr>
            <a:graphic>
              <a:graphicData uri="http://schemas.openxmlformats.org/drawingml/2006/picture">
                <pic:pic>
                  <pic:nvPicPr>
                    <pic:cNvPr id="0" name="temp_emissions.png"/>
                    <pic:cNvPicPr/>
                  </pic:nvPicPr>
                  <pic:blipFill>
                    <a:blip r:embed="rId11"/>
                    <a:stretch>
                      <a:fillRect/>
                    </a:stretch>
                  </pic:blipFill>
                  <pic:spPr>
                    <a:xfrm>
                      <a:off x="0" y="0"/>
                      <a:ext cx="4572000" cy="3934185"/>
                    </a:xfrm>
                    <a:prstGeom prst="rect"/>
                  </pic:spPr>
                </pic:pic>
              </a:graphicData>
            </a:graphic>
          </wp:inline>
        </w:drawing>
      </w:r>
    </w:p>
    <w:p>
      <w:pPr>
        <w:spacing w:after="400"/>
        <w:jc w:val="center"/>
      </w:pPr>
      <w:r>
        <w:rPr>
          <w:rFonts w:ascii="Arial" w:hAnsi="Arial"/>
          <w:rFonts w:ascii="Arial" w:hAnsi="Arial" w:eastAsia="Microsoft JhengHei"/>
          <w:i/>
          <w:sz w:val="18"/>
        </w:rPr>
        <w:t>圖 3-1 2025 年度環境範疇一與範疇二排放分布 donut 圖</w:t>
      </w:r>
    </w:p>
    <w:p>
      <w:r>
        <w:br w:type="page"/>
      </w:r>
    </w:p>
    <w:p>
      <w:pPr>
        <w:keepNext/>
        <w:spacing w:before="360" w:after="160"/>
      </w:pPr>
      <w:r>
        <w:rPr>
          <w:rFonts w:ascii="Arial" w:hAnsi="Arial"/>
          <w:rFonts w:ascii="Arial" w:hAnsi="Arial" w:eastAsia="Microsoft JhengHei"/>
          <w:b/>
          <w:color w:val="2E7D32"/>
          <w:sz w:val="36"/>
        </w:rPr>
        <w:t>十、 GRI 404：培訓與教育</w:t>
      </w:r>
    </w:p>
    <w:p>
      <w:pPr>
        <w:keepNext/>
        <w:spacing w:before="280" w:after="120"/>
      </w:pPr>
      <w:r>
        <w:rPr>
          <w:rFonts w:ascii="Arial" w:hAnsi="Arial"/>
          <w:rFonts w:ascii="Arial" w:hAnsi="Arial" w:eastAsia="Microsoft JhengHei"/>
          <w:b/>
          <w:color w:val="1565C0"/>
          <w:sz w:val="28"/>
        </w:rPr>
        <w:t>4.1.1 員工平均培訓時數結構分析（依職級與性別）</w:t>
      </w:r>
    </w:p>
    <w:p>
      <w:pPr>
        <w:spacing w:line="312" w:lineRule="auto" w:after="160"/>
        <w:jc w:val="both"/>
      </w:pPr>
      <w:r>
        <w:rPr>
          <w:rFonts w:ascii="Arial" w:hAnsi="Arial"/>
          <w:rFonts w:ascii="Arial" w:hAnsi="Arial" w:eastAsia="Microsoft JhengHei"/>
          <w:color w:val="212121"/>
          <w:sz w:val="22"/>
        </w:rPr>
        <w:t>依據 GRI 404 培訓與教育揭露準則，星光電子製造廠 深信持續提升員工專業知能是企業成長的關鍵。 在 2025 年度員工平均培訓時數的結構分析中，數據顯示：「高階主管平均培訓時數」平均達 45.0 小時, 「中階主管平均培訓時數」平均達 32.5 小時, 「基層員工平均培訓時數」平均達 28.0 小時, 「男性員工平均培訓時數」平均達 29.5 小時, 「女性員工平均培訓時數」平均達 31.0 小時, 「全體員工平均培訓時數」平均達 30.2 小時。 本公司針對高階主管、中階主管以及基層員工，因應其工作範疇與管理層級之不同，提供相應的學程培訓，同時確保性別平權與資源分配的均等。 此數據充分顯現本公司在落實內部職涯技能輔導與組織核心能力建構上，皆維持高標準之投入。</w:t>
      </w:r>
    </w:p>
    <w:p>
      <w:pPr>
        <w:keepNext/>
        <w:spacing w:before="280" w:after="120"/>
      </w:pPr>
      <w:r>
        <w:rPr>
          <w:rFonts w:ascii="Arial" w:hAnsi="Arial"/>
          <w:rFonts w:ascii="Arial" w:hAnsi="Arial" w:eastAsia="Microsoft JhengHei"/>
          <w:b/>
          <w:color w:val="1565C0"/>
          <w:sz w:val="28"/>
        </w:rPr>
        <w:t>4.1.2 員工技能提升與過渡協助計畫執行效益</w:t>
      </w:r>
    </w:p>
    <w:p>
      <w:pPr>
        <w:spacing w:line="312" w:lineRule="auto" w:after="160"/>
        <w:jc w:val="both"/>
      </w:pPr>
      <w:r>
        <w:rPr>
          <w:rFonts w:ascii="Arial" w:hAnsi="Arial"/>
          <w:rFonts w:ascii="Arial" w:hAnsi="Arial" w:eastAsia="Microsoft JhengHei"/>
          <w:color w:val="212121"/>
          <w:sz w:val="22"/>
        </w:rPr>
        <w:t>為配合科技進步與產業快速轉型，星光電子製造廠 於 2025 年度積極推展多元化的員工技能提升與過渡協助計畫。 我們除了舉辦內部專業工作坊、管理職特訓班之外，亦提供外部進修學費補助，以協助同仁在變動的市場中持續掌握前沿技能。 這些培訓與技能重建方案，性能激發同仁的自我實現潛能，更有助於縮短新技術導入的學習曲線，提升公司的營運彈性與長期永續競爭力。</w:t>
      </w:r>
    </w:p>
    <w:p>
      <w:pPr>
        <w:keepNext/>
        <w:spacing w:before="280" w:after="120"/>
      </w:pPr>
      <w:r>
        <w:rPr>
          <w:rFonts w:ascii="Arial" w:hAnsi="Arial"/>
          <w:rFonts w:ascii="Arial" w:hAnsi="Arial" w:eastAsia="Microsoft JhengHei"/>
          <w:b/>
          <w:color w:val="1565C0"/>
          <w:sz w:val="28"/>
        </w:rPr>
        <w:t>4.1.2.2 培訓與教育績效統計表</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rFonts w:ascii="Arial" w:hAnsi="Arial" w:eastAsia="Microsoft JhengHei"/>
                <w:b/>
                <w:sz w:val="19"/>
                <w:rFonts w:ascii="Arial" w:hAnsi="Arial" w:eastAsia="Microsoft JhengHei"/>
              </w:rPr>
              <w:t>數據指標分類</w:t>
            </w:r>
          </w:p>
        </w:tc>
        <w:tc>
          <w:tcPr>
            <w:tcW w:type="dxa" w:w="2340"/>
          </w:tcPr>
          <w:p>
            <w:r>
              <w:rPr>
                <w:rFonts w:ascii="Arial" w:hAnsi="Arial"/>
                <w:rFonts w:ascii="Arial" w:hAnsi="Arial" w:eastAsia="Microsoft JhengHei"/>
                <w:b/>
                <w:sz w:val="19"/>
                <w:rFonts w:ascii="Arial" w:hAnsi="Arial" w:eastAsia="Microsoft JhengHei"/>
              </w:rPr>
              <w:t>細部指標名稱</w:t>
            </w:r>
          </w:p>
        </w:tc>
        <w:tc>
          <w:tcPr>
            <w:tcW w:type="dxa" w:w="2340"/>
          </w:tcPr>
          <w:p>
            <w:r>
              <w:rPr>
                <w:rFonts w:ascii="Arial" w:hAnsi="Arial"/>
                <w:rFonts w:ascii="Arial" w:hAnsi="Arial" w:eastAsia="Microsoft JhengHei"/>
                <w:b/>
                <w:sz w:val="19"/>
                <w:rFonts w:ascii="Arial" w:hAnsi="Arial" w:eastAsia="Microsoft JhengHei"/>
              </w:rPr>
              <w:t>統計值</w:t>
            </w:r>
          </w:p>
        </w:tc>
        <w:tc>
          <w:tcPr>
            <w:tcW w:type="dxa" w:w="2340"/>
          </w:tcPr>
          <w:p>
            <w:r>
              <w:rPr>
                <w:rFonts w:ascii="Arial" w:hAnsi="Arial"/>
                <w:rFonts w:ascii="Arial" w:hAnsi="Arial" w:eastAsia="Microsoft JhengHei"/>
                <w:b/>
                <w:sz w:val="19"/>
                <w:rFonts w:ascii="Arial" w:hAnsi="Arial" w:eastAsia="Microsoft JhengHei"/>
              </w:rPr>
              <w:t>計量單位</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高階主管平均培訓時數</w:t>
            </w:r>
          </w:p>
        </w:tc>
        <w:tc>
          <w:tcPr>
            <w:tcW w:type="dxa" w:w="2340"/>
          </w:tcPr>
          <w:p>
            <w:r>
              <w:rPr>
                <w:rFonts w:ascii="Arial" w:hAnsi="Arial"/>
                <w:rFonts w:ascii="Arial" w:hAnsi="Arial" w:eastAsia="Microsoft JhengHei"/>
                <w:sz w:val="19"/>
              </w:rPr>
              <w:t>45.0</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中階主管平均培訓時數</w:t>
            </w:r>
          </w:p>
        </w:tc>
        <w:tc>
          <w:tcPr>
            <w:tcW w:type="dxa" w:w="2340"/>
          </w:tcPr>
          <w:p>
            <w:r>
              <w:rPr>
                <w:rFonts w:ascii="Arial" w:hAnsi="Arial"/>
                <w:rFonts w:ascii="Arial" w:hAnsi="Arial" w:eastAsia="Microsoft JhengHei"/>
                <w:sz w:val="19"/>
              </w:rPr>
              <w:t>32.5</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基層員工平均培訓時數</w:t>
            </w:r>
          </w:p>
        </w:tc>
        <w:tc>
          <w:tcPr>
            <w:tcW w:type="dxa" w:w="2340"/>
          </w:tcPr>
          <w:p>
            <w:r>
              <w:rPr>
                <w:rFonts w:ascii="Arial" w:hAnsi="Arial"/>
                <w:rFonts w:ascii="Arial" w:hAnsi="Arial" w:eastAsia="Microsoft JhengHei"/>
                <w:sz w:val="19"/>
              </w:rPr>
              <w:t>28.0</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男性員工平均培訓時數</w:t>
            </w:r>
          </w:p>
        </w:tc>
        <w:tc>
          <w:tcPr>
            <w:tcW w:type="dxa" w:w="2340"/>
          </w:tcPr>
          <w:p>
            <w:r>
              <w:rPr>
                <w:rFonts w:ascii="Arial" w:hAnsi="Arial"/>
                <w:rFonts w:ascii="Arial" w:hAnsi="Arial" w:eastAsia="Microsoft JhengHei"/>
                <w:sz w:val="19"/>
              </w:rPr>
              <w:t>29.5</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女性員工平均培訓時數</w:t>
            </w:r>
          </w:p>
        </w:tc>
        <w:tc>
          <w:tcPr>
            <w:tcW w:type="dxa" w:w="2340"/>
          </w:tcPr>
          <w:p>
            <w:r>
              <w:rPr>
                <w:rFonts w:ascii="Arial" w:hAnsi="Arial"/>
                <w:rFonts w:ascii="Arial" w:hAnsi="Arial" w:eastAsia="Microsoft JhengHei"/>
                <w:sz w:val="19"/>
              </w:rPr>
              <w:t>31.0</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培育成長 (Training)</w:t>
            </w:r>
          </w:p>
        </w:tc>
        <w:tc>
          <w:tcPr>
            <w:tcW w:type="dxa" w:w="2340"/>
          </w:tcPr>
          <w:p>
            <w:r>
              <w:rPr>
                <w:rFonts w:ascii="Arial" w:hAnsi="Arial"/>
                <w:rFonts w:ascii="Arial" w:hAnsi="Arial" w:eastAsia="Microsoft JhengHei"/>
                <w:sz w:val="19"/>
              </w:rPr>
              <w:t>全體員工平均培訓時數</w:t>
            </w:r>
          </w:p>
        </w:tc>
        <w:tc>
          <w:tcPr>
            <w:tcW w:type="dxa" w:w="2340"/>
          </w:tcPr>
          <w:p>
            <w:r>
              <w:rPr>
                <w:rFonts w:ascii="Arial" w:hAnsi="Arial"/>
                <w:rFonts w:ascii="Arial" w:hAnsi="Arial" w:eastAsia="Microsoft JhengHei"/>
                <w:sz w:val="19"/>
              </w:rPr>
              <w:t>30.2</w:t>
            </w:r>
          </w:p>
        </w:tc>
        <w:tc>
          <w:tcPr>
            <w:tcW w:type="dxa" w:w="2340"/>
          </w:tcPr>
          <w:p>
            <w:r>
              <w:rPr>
                <w:rFonts w:ascii="Arial" w:hAnsi="Arial"/>
                <w:rFonts w:ascii="Arial" w:hAnsi="Arial" w:eastAsia="Microsoft JhengHei"/>
                <w:sz w:val="19"/>
              </w:rPr>
              <w:t>小時</w:t>
            </w:r>
          </w:p>
        </w:tc>
      </w:tr>
      <w:tr>
        <w:tc>
          <w:tcPr>
            <w:tcW w:type="dxa" w:w="2340"/>
          </w:tcPr>
          <w:p>
            <w:r>
              <w:rPr>
                <w:rFonts w:ascii="Arial" w:hAnsi="Arial"/>
                <w:rFonts w:ascii="Arial" w:hAnsi="Arial" w:eastAsia="Microsoft JhengHei"/>
                <w:sz w:val="19"/>
              </w:rPr>
              <w:t>組織穩定 (Turnover)</w:t>
            </w:r>
          </w:p>
        </w:tc>
        <w:tc>
          <w:tcPr>
            <w:tcW w:type="dxa" w:w="2340"/>
          </w:tcPr>
          <w:p>
            <w:r>
              <w:rPr>
                <w:rFonts w:ascii="Arial" w:hAnsi="Arial"/>
                <w:rFonts w:ascii="Arial" w:hAnsi="Arial" w:eastAsia="Microsoft JhengHei"/>
                <w:sz w:val="19"/>
              </w:rPr>
              <w:t>新進員工比率</w:t>
            </w:r>
          </w:p>
        </w:tc>
        <w:tc>
          <w:tcPr>
            <w:tcW w:type="dxa" w:w="2340"/>
          </w:tcPr>
          <w:p>
            <w:r>
              <w:rPr>
                <w:rFonts w:ascii="Arial" w:hAnsi="Arial"/>
                <w:rFonts w:ascii="Arial" w:hAnsi="Arial" w:eastAsia="Microsoft JhengHei"/>
                <w:sz w:val="19"/>
              </w:rPr>
              <w:t>12.5</w:t>
            </w:r>
          </w:p>
        </w:tc>
        <w:tc>
          <w:tcPr>
            <w:tcW w:type="dxa" w:w="2340"/>
          </w:tcPr>
          <w:p>
            <w:r>
              <w:rPr>
                <w:rFonts w:ascii="Arial" w:hAnsi="Arial"/>
                <w:rFonts w:ascii="Arial" w:hAnsi="Arial" w:eastAsia="Microsoft JhengHei"/>
                <w:sz w:val="19"/>
              </w:rPr>
              <w:t>%</w:t>
            </w:r>
          </w:p>
        </w:tc>
      </w:tr>
      <w:tr>
        <w:tc>
          <w:tcPr>
            <w:tcW w:type="dxa" w:w="2340"/>
          </w:tcPr>
          <w:p>
            <w:r>
              <w:rPr>
                <w:rFonts w:ascii="Arial" w:hAnsi="Arial"/>
                <w:rFonts w:ascii="Arial" w:hAnsi="Arial" w:eastAsia="Microsoft JhengHei"/>
                <w:sz w:val="19"/>
              </w:rPr>
              <w:t>組織穩定 (Turnover)</w:t>
            </w:r>
          </w:p>
        </w:tc>
        <w:tc>
          <w:tcPr>
            <w:tcW w:type="dxa" w:w="2340"/>
          </w:tcPr>
          <w:p>
            <w:r>
              <w:rPr>
                <w:rFonts w:ascii="Arial" w:hAnsi="Arial"/>
                <w:rFonts w:ascii="Arial" w:hAnsi="Arial" w:eastAsia="Microsoft JhengHei"/>
                <w:sz w:val="19"/>
              </w:rPr>
              <w:t>員工離職率</w:t>
            </w:r>
          </w:p>
        </w:tc>
        <w:tc>
          <w:tcPr>
            <w:tcW w:type="dxa" w:w="2340"/>
          </w:tcPr>
          <w:p>
            <w:r>
              <w:rPr>
                <w:rFonts w:ascii="Arial" w:hAnsi="Arial"/>
                <w:rFonts w:ascii="Arial" w:hAnsi="Arial" w:eastAsia="Microsoft JhengHei"/>
                <w:sz w:val="19"/>
              </w:rPr>
              <w:t>8.4</w:t>
            </w:r>
          </w:p>
        </w:tc>
        <w:tc>
          <w:tcPr>
            <w:tcW w:type="dxa" w:w="2340"/>
          </w:tcPr>
          <w:p>
            <w:r>
              <w:rPr>
                <w:rFonts w:ascii="Arial" w:hAnsi="Arial"/>
                <w:rFonts w:ascii="Arial" w:hAnsi="Arial" w:eastAsia="Microsoft JhengHei"/>
                <w:sz w:val="19"/>
              </w:rPr>
              <w:t>%</w:t>
            </w:r>
          </w:p>
        </w:tc>
      </w:tr>
    </w:tbl>
    <w:p>
      <w:pPr>
        <w:spacing w:before="200"/>
      </w:pPr>
    </w:p>
    <w:p>
      <w:r>
        <w:br w:type="page"/>
      </w:r>
    </w:p>
    <w:p>
      <w:pPr>
        <w:keepNext/>
        <w:spacing w:before="280" w:after="120"/>
      </w:pPr>
      <w:r>
        <w:rPr>
          <w:rFonts w:ascii="Arial" w:hAnsi="Arial"/>
          <w:rFonts w:ascii="Arial" w:hAnsi="Arial" w:eastAsia="Microsoft JhengHei"/>
          <w:b/>
          <w:color w:val="1565C0"/>
          <w:sz w:val="28"/>
        </w:rPr>
        <w:t>4.1.3 組織人才穩定度與流動率指標解讀</w:t>
      </w:r>
    </w:p>
    <w:p>
      <w:pPr>
        <w:spacing w:line="312" w:lineRule="auto" w:after="160"/>
        <w:jc w:val="both"/>
      </w:pPr>
      <w:r>
        <w:rPr>
          <w:rFonts w:ascii="Arial" w:hAnsi="Arial"/>
          <w:rFonts w:ascii="Arial" w:hAnsi="Arial" w:eastAsia="Microsoft JhengHei"/>
          <w:color w:val="212121"/>
          <w:sz w:val="22"/>
        </w:rPr>
        <w:t>在人力結構穩定度指標方面，星光電子製造廠 統計本報告年度之關鍵數據顯示：「新進員工比率」為 12.5%, 「員工離職率」為 8.4%。 本公司高度重視新進員工之融入狀況以及核心關鍵人才的留任率。 為健全組織活力，我們將深入解讀此人才流動指標，並配合員工回饋機制，著手優化整體薪酬待遇、心理諮商關懷服務、以及友善職場工作氛圍之建立，以維持穩定的勞動關係。</w:t>
      </w:r>
    </w:p>
    <w:p>
      <w:pPr>
        <w:keepNext/>
        <w:spacing w:before="280" w:after="120"/>
      </w:pPr>
      <w:r>
        <w:rPr>
          <w:rFonts w:ascii="Arial" w:hAnsi="Arial"/>
          <w:rFonts w:ascii="Arial" w:hAnsi="Arial" w:eastAsia="Microsoft JhengHei"/>
          <w:b/>
          <w:color w:val="1565C0"/>
          <w:sz w:val="28"/>
        </w:rPr>
        <w:t>4.1.3.2 培訓效益與流動性分析</w:t>
      </w:r>
    </w:p>
    <w:p>
      <w:pPr>
        <w:jc w:val="center"/>
      </w:pPr>
      <w:r>
        <w:drawing>
          <wp:inline xmlns:a="http://schemas.openxmlformats.org/drawingml/2006/main" xmlns:pic="http://schemas.openxmlformats.org/drawingml/2006/picture">
            <wp:extent cx="4754880" cy="3036498"/>
            <wp:docPr id="2" name="Picture 2"/>
            <wp:cNvGraphicFramePr>
              <a:graphicFrameLocks noChangeAspect="1"/>
            </wp:cNvGraphicFramePr>
            <a:graphic>
              <a:graphicData uri="http://schemas.openxmlformats.org/drawingml/2006/picture">
                <pic:pic>
                  <pic:nvPicPr>
                    <pic:cNvPr id="0" name="temp_social.png"/>
                    <pic:cNvPicPr/>
                  </pic:nvPicPr>
                  <pic:blipFill>
                    <a:blip r:embed="rId12"/>
                    <a:stretch>
                      <a:fillRect/>
                    </a:stretch>
                  </pic:blipFill>
                  <pic:spPr>
                    <a:xfrm>
                      <a:off x="0" y="0"/>
                      <a:ext cx="4754880" cy="3036498"/>
                    </a:xfrm>
                    <a:prstGeom prst="rect"/>
                  </pic:spPr>
                </pic:pic>
              </a:graphicData>
            </a:graphic>
          </wp:inline>
        </w:drawing>
      </w:r>
    </w:p>
    <w:p>
      <w:pPr>
        <w:spacing w:after="400"/>
        <w:jc w:val="center"/>
      </w:pPr>
      <w:r>
        <w:rPr>
          <w:rFonts w:ascii="Arial" w:hAnsi="Arial"/>
          <w:rFonts w:ascii="Arial" w:hAnsi="Arial" w:eastAsia="Microsoft JhengHei"/>
          <w:i/>
          <w:sz w:val="18"/>
        </w:rPr>
        <w:t>圖 4-1 2025 年度各維度平均培訓時數對比長條圖</w:t>
      </w:r>
    </w:p>
    <w:p>
      <w:r>
        <w:br w:type="page"/>
      </w:r>
    </w:p>
    <w:p>
      <w:pPr>
        <w:keepNext/>
        <w:spacing w:before="360" w:after="160"/>
      </w:pPr>
      <w:r>
        <w:rPr>
          <w:rFonts w:ascii="Arial" w:hAnsi="Arial"/>
          <w:rFonts w:ascii="Arial" w:hAnsi="Arial" w:eastAsia="Microsoft JhengHei"/>
          <w:b/>
          <w:color w:val="2E7D32"/>
          <w:sz w:val="36"/>
        </w:rPr>
        <w:t>附錄、 GRI 揭露指標索引對照表</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rFonts w:ascii="Arial" w:hAnsi="Arial" w:eastAsia="Microsoft JhengHei"/>
                <w:b/>
                <w:sz w:val="18"/>
                <w:rFonts w:ascii="Arial" w:hAnsi="Arial" w:eastAsia="Microsoft JhengHei"/>
              </w:rPr>
              <w:t>GRI 準則項目</w:t>
            </w:r>
          </w:p>
        </w:tc>
        <w:tc>
          <w:tcPr>
            <w:tcW w:type="dxa" w:w="2340"/>
          </w:tcPr>
          <w:p>
            <w:r>
              <w:rPr>
                <w:rFonts w:ascii="Arial" w:hAnsi="Arial"/>
                <w:rFonts w:ascii="Arial" w:hAnsi="Arial" w:eastAsia="Microsoft JhengHei"/>
                <w:b/>
                <w:sz w:val="18"/>
                <w:rFonts w:ascii="Arial" w:hAnsi="Arial" w:eastAsia="Microsoft JhengHei"/>
              </w:rPr>
              <w:t>揭露指標項目</w:t>
            </w:r>
          </w:p>
        </w:tc>
        <w:tc>
          <w:tcPr>
            <w:tcW w:type="dxa" w:w="2340"/>
          </w:tcPr>
          <w:p>
            <w:r>
              <w:rPr>
                <w:rFonts w:ascii="Arial" w:hAnsi="Arial"/>
                <w:rFonts w:ascii="Arial" w:hAnsi="Arial" w:eastAsia="Microsoft JhengHei"/>
                <w:b/>
                <w:sz w:val="18"/>
                <w:rFonts w:ascii="Arial" w:hAnsi="Arial" w:eastAsia="Microsoft JhengHei"/>
              </w:rPr>
              <w:t>對應報告章節</w:t>
            </w:r>
          </w:p>
        </w:tc>
        <w:tc>
          <w:tcPr>
            <w:tcW w:type="dxa" w:w="2340"/>
          </w:tcPr>
          <w:p>
            <w:r>
              <w:rPr>
                <w:rFonts w:ascii="Arial" w:hAnsi="Arial"/>
                <w:rFonts w:ascii="Arial" w:hAnsi="Arial" w:eastAsia="Microsoft JhengHei"/>
                <w:b/>
                <w:sz w:val="18"/>
                <w:rFonts w:ascii="Arial" w:hAnsi="Arial" w:eastAsia="Microsoft JhengHei"/>
              </w:rPr>
              <w:t>頁碼標示</w:t>
            </w:r>
          </w:p>
        </w:tc>
      </w:tr>
      <w:tr>
        <w:tc>
          <w:tcPr>
            <w:tcW w:type="dxa" w:w="2340"/>
          </w:tcPr>
          <w:p>
            <w:r>
              <w:rPr>
                <w:rFonts w:ascii="Arial" w:hAnsi="Arial"/>
                <w:rFonts w:ascii="Arial" w:hAnsi="Arial" w:eastAsia="Microsoft JhengHei"/>
                <w:sz w:val="18"/>
              </w:rPr>
              <w:t>GRI 305: Emissions 2016</w:t>
            </w:r>
          </w:p>
        </w:tc>
        <w:tc>
          <w:tcPr>
            <w:tcW w:type="dxa" w:w="2340"/>
          </w:tcPr>
          <w:p>
            <w:r>
              <w:rPr>
                <w:rFonts w:ascii="Arial" w:hAnsi="Arial"/>
                <w:rFonts w:ascii="Arial" w:hAnsi="Arial" w:eastAsia="Microsoft JhengHei"/>
                <w:sz w:val="18"/>
              </w:rPr>
              <w:t>305-1 直接（範疇一）溫室氣體排放</w:t>
            </w:r>
          </w:p>
        </w:tc>
        <w:tc>
          <w:tcPr>
            <w:tcW w:type="dxa" w:w="2340"/>
          </w:tcPr>
          <w:p>
            <w:r>
              <w:rPr>
                <w:rFonts w:ascii="Arial" w:hAnsi="Arial"/>
                <w:rFonts w:ascii="Arial" w:hAnsi="Arial" w:eastAsia="Microsoft JhengHei"/>
                <w:sz w:val="18"/>
              </w:rPr>
              <w:t>GRI 305 - 3.1.1 範疇一來源深度解讀</w:t>
            </w:r>
          </w:p>
        </w:tc>
        <w:tc>
          <w:tcPr>
            <w:tcW w:type="dxa" w:w="2340"/>
          </w:tcPr>
          <w:p>
            <w:r>
              <w:rPr>
                <w:rFonts w:ascii="Arial" w:hAnsi="Arial"/>
                <w:rFonts w:ascii="Arial" w:hAnsi="Arial" w:eastAsia="Microsoft JhengHei"/>
                <w:sz w:val="18"/>
              </w:rPr>
              <w:t>5</w:t>
            </w:r>
          </w:p>
        </w:tc>
      </w:tr>
      <w:tr>
        <w:tc>
          <w:tcPr>
            <w:tcW w:type="dxa" w:w="2340"/>
          </w:tcPr>
          <w:p>
            <w:r>
              <w:rPr>
                <w:rFonts w:ascii="Arial" w:hAnsi="Arial"/>
                <w:rFonts w:ascii="Arial" w:hAnsi="Arial" w:eastAsia="Microsoft JhengHei"/>
                <w:sz w:val="18"/>
              </w:rPr>
              <w:t>GRI 305: Emissions 2016</w:t>
            </w:r>
          </w:p>
        </w:tc>
        <w:tc>
          <w:tcPr>
            <w:tcW w:type="dxa" w:w="2340"/>
          </w:tcPr>
          <w:p>
            <w:r>
              <w:rPr>
                <w:rFonts w:ascii="Arial" w:hAnsi="Arial"/>
                <w:rFonts w:ascii="Arial" w:hAnsi="Arial" w:eastAsia="Microsoft JhengHei"/>
                <w:sz w:val="18"/>
              </w:rPr>
              <w:t>305-2 能源間接（範疇二）溫室氣體排放</w:t>
            </w:r>
          </w:p>
        </w:tc>
        <w:tc>
          <w:tcPr>
            <w:tcW w:type="dxa" w:w="2340"/>
          </w:tcPr>
          <w:p>
            <w:r>
              <w:rPr>
                <w:rFonts w:ascii="Arial" w:hAnsi="Arial"/>
                <w:rFonts w:ascii="Arial" w:hAnsi="Arial" w:eastAsia="Microsoft JhengHei"/>
                <w:sz w:val="18"/>
              </w:rPr>
              <w:t>GRI 305 - 3.1.2 範疇二電力與減碳路徑</w:t>
            </w:r>
          </w:p>
        </w:tc>
        <w:tc>
          <w:tcPr>
            <w:tcW w:type="dxa" w:w="2340"/>
          </w:tcPr>
          <w:p>
            <w:r>
              <w:rPr>
                <w:rFonts w:ascii="Arial" w:hAnsi="Arial"/>
                <w:rFonts w:ascii="Arial" w:hAnsi="Arial" w:eastAsia="Microsoft JhengHei"/>
                <w:sz w:val="18"/>
              </w:rPr>
              <w:t>5</w:t>
            </w:r>
          </w:p>
        </w:tc>
      </w:tr>
      <w:tr>
        <w:tc>
          <w:tcPr>
            <w:tcW w:type="dxa" w:w="2340"/>
          </w:tcPr>
          <w:p>
            <w:r>
              <w:rPr>
                <w:rFonts w:ascii="Arial" w:hAnsi="Arial"/>
                <w:rFonts w:ascii="Arial" w:hAnsi="Arial" w:eastAsia="Microsoft JhengHei"/>
                <w:sz w:val="18"/>
              </w:rPr>
              <w:t>GRI 305: Emissions 2016</w:t>
            </w:r>
          </w:p>
        </w:tc>
        <w:tc>
          <w:tcPr>
            <w:tcW w:type="dxa" w:w="2340"/>
          </w:tcPr>
          <w:p>
            <w:r>
              <w:rPr>
                <w:rFonts w:ascii="Arial" w:hAnsi="Arial"/>
                <w:rFonts w:ascii="Arial" w:hAnsi="Arial" w:eastAsia="Microsoft JhengHei"/>
                <w:sz w:val="18"/>
              </w:rPr>
              <w:t>305-4 溫室氣體排放密集度/YoY成效</w:t>
            </w:r>
          </w:p>
        </w:tc>
        <w:tc>
          <w:tcPr>
            <w:tcW w:type="dxa" w:w="2340"/>
          </w:tcPr>
          <w:p>
            <w:r>
              <w:rPr>
                <w:rFonts w:ascii="Arial" w:hAnsi="Arial"/>
                <w:rFonts w:ascii="Arial" w:hAnsi="Arial" w:eastAsia="Microsoft JhengHei"/>
                <w:sz w:val="18"/>
              </w:rPr>
              <w:t>GRI 305 - 3.1.3 YoY排放變動評估</w:t>
            </w:r>
          </w:p>
        </w:tc>
        <w:tc>
          <w:tcPr>
            <w:tcW w:type="dxa" w:w="2340"/>
          </w:tcPr>
          <w:p>
            <w:r>
              <w:rPr>
                <w:rFonts w:ascii="Arial" w:hAnsi="Arial"/>
                <w:rFonts w:ascii="Arial" w:hAnsi="Arial" w:eastAsia="Microsoft JhengHei"/>
                <w:sz w:val="18"/>
              </w:rPr>
              <w:t>6</w:t>
            </w:r>
          </w:p>
        </w:tc>
      </w:tr>
      <w:tr>
        <w:tc>
          <w:tcPr>
            <w:tcW w:type="dxa" w:w="2340"/>
          </w:tcPr>
          <w:p>
            <w:r>
              <w:rPr>
                <w:rFonts w:ascii="Arial" w:hAnsi="Arial"/>
                <w:rFonts w:ascii="Arial" w:hAnsi="Arial" w:eastAsia="Microsoft JhengHei"/>
                <w:sz w:val="18"/>
              </w:rPr>
              <w:t>GRI 404: Training &amp; Education</w:t>
            </w:r>
          </w:p>
        </w:tc>
        <w:tc>
          <w:tcPr>
            <w:tcW w:type="dxa" w:w="2340"/>
          </w:tcPr>
          <w:p>
            <w:r>
              <w:rPr>
                <w:rFonts w:ascii="Arial" w:hAnsi="Arial"/>
                <w:rFonts w:ascii="Arial" w:hAnsi="Arial" w:eastAsia="Microsoft JhengHei"/>
                <w:sz w:val="18"/>
              </w:rPr>
              <w:t>404-1 每名員工每年接受培訓的平均時數</w:t>
            </w:r>
          </w:p>
        </w:tc>
        <w:tc>
          <w:tcPr>
            <w:tcW w:type="dxa" w:w="2340"/>
          </w:tcPr>
          <w:p>
            <w:r>
              <w:rPr>
                <w:rFonts w:ascii="Arial" w:hAnsi="Arial"/>
                <w:rFonts w:ascii="Arial" w:hAnsi="Arial" w:eastAsia="Microsoft JhengHei"/>
                <w:sz w:val="18"/>
              </w:rPr>
              <w:t>GRI 404 - 4.1.1 培訓時數結構分析</w:t>
            </w:r>
          </w:p>
        </w:tc>
        <w:tc>
          <w:tcPr>
            <w:tcW w:type="dxa" w:w="2340"/>
          </w:tcPr>
          <w:p>
            <w:r>
              <w:rPr>
                <w:rFonts w:ascii="Arial" w:hAnsi="Arial"/>
                <w:rFonts w:ascii="Arial" w:hAnsi="Arial" w:eastAsia="Microsoft JhengHei"/>
                <w:sz w:val="18"/>
              </w:rPr>
              <w:t>7</w:t>
            </w:r>
          </w:p>
        </w:tc>
      </w:tr>
      <w:tr>
        <w:tc>
          <w:tcPr>
            <w:tcW w:type="dxa" w:w="2340"/>
          </w:tcPr>
          <w:p>
            <w:r>
              <w:rPr>
                <w:rFonts w:ascii="Arial" w:hAnsi="Arial"/>
                <w:rFonts w:ascii="Arial" w:hAnsi="Arial" w:eastAsia="Microsoft JhengHei"/>
                <w:sz w:val="18"/>
              </w:rPr>
              <w:t>GRI 404: Training &amp; Education</w:t>
            </w:r>
          </w:p>
        </w:tc>
        <w:tc>
          <w:tcPr>
            <w:tcW w:type="dxa" w:w="2340"/>
          </w:tcPr>
          <w:p>
            <w:r>
              <w:rPr>
                <w:rFonts w:ascii="Arial" w:hAnsi="Arial"/>
                <w:rFonts w:ascii="Arial" w:hAnsi="Arial" w:eastAsia="Microsoft JhengHei"/>
                <w:sz w:val="18"/>
              </w:rPr>
              <w:t>404-2 員工技能提升計畫與過渡協助計畫</w:t>
            </w:r>
          </w:p>
        </w:tc>
        <w:tc>
          <w:tcPr>
            <w:tcW w:type="dxa" w:w="2340"/>
          </w:tcPr>
          <w:p>
            <w:r>
              <w:rPr>
                <w:rFonts w:ascii="Arial" w:hAnsi="Arial"/>
                <w:rFonts w:ascii="Arial" w:hAnsi="Arial" w:eastAsia="Microsoft JhengHei"/>
                <w:sz w:val="18"/>
              </w:rPr>
              <w:t>GRI 404 - 4.1.2 技能提升與過渡計畫</w:t>
            </w:r>
          </w:p>
        </w:tc>
        <w:tc>
          <w:tcPr>
            <w:tcW w:type="dxa" w:w="2340"/>
          </w:tcPr>
          <w:p>
            <w:r>
              <w:rPr>
                <w:rFonts w:ascii="Arial" w:hAnsi="Arial"/>
                <w:rFonts w:ascii="Arial" w:hAnsi="Arial" w:eastAsia="Microsoft JhengHei"/>
                <w:sz w:val="18"/>
              </w:rPr>
              <w:t>7</w:t>
            </w:r>
          </w:p>
        </w:tc>
      </w:tr>
      <w:tr>
        <w:tc>
          <w:tcPr>
            <w:tcW w:type="dxa" w:w="2340"/>
          </w:tcPr>
          <w:p>
            <w:r>
              <w:rPr>
                <w:rFonts w:ascii="Arial" w:hAnsi="Arial"/>
                <w:rFonts w:ascii="Arial" w:hAnsi="Arial" w:eastAsia="Microsoft JhengHei"/>
                <w:sz w:val="18"/>
              </w:rPr>
              <w:t>GRI 404: Training &amp; Education</w:t>
            </w:r>
          </w:p>
        </w:tc>
        <w:tc>
          <w:tcPr>
            <w:tcW w:type="dxa" w:w="2340"/>
          </w:tcPr>
          <w:p>
            <w:r>
              <w:rPr>
                <w:rFonts w:ascii="Arial" w:hAnsi="Arial"/>
                <w:rFonts w:ascii="Arial" w:hAnsi="Arial" w:eastAsia="Microsoft JhengHei"/>
                <w:sz w:val="18"/>
              </w:rPr>
              <w:t>404-3 接受定期績效及職涯發展檢核</w:t>
            </w:r>
          </w:p>
        </w:tc>
        <w:tc>
          <w:tcPr>
            <w:tcW w:type="dxa" w:w="2340"/>
          </w:tcPr>
          <w:p>
            <w:r>
              <w:rPr>
                <w:rFonts w:ascii="Arial" w:hAnsi="Arial"/>
                <w:rFonts w:ascii="Arial" w:hAnsi="Arial" w:eastAsia="Microsoft JhengHei"/>
                <w:sz w:val="18"/>
              </w:rPr>
              <w:t>GRI 404 - 4.1.3 組織人才穩定度</w:t>
            </w:r>
          </w:p>
        </w:tc>
        <w:tc>
          <w:tcPr>
            <w:tcW w:type="dxa" w:w="2340"/>
          </w:tcPr>
          <w:p>
            <w:r>
              <w:rPr>
                <w:rFonts w:ascii="Arial" w:hAnsi="Arial"/>
                <w:rFonts w:ascii="Arial" w:hAnsi="Arial" w:eastAsia="Microsoft JhengHei"/>
                <w:sz w:val="18"/>
              </w:rPr>
              <w:t>8</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rFonts w:ascii="Arial" w:hAnsi="Arial" w:eastAsia="Microsoft JhengHei"/>
        <w:color w:val="808080"/>
        <w:sz w:val="18"/>
      </w:rPr>
      <w:t xml:space="preserve">企業永續報告書初稿 (地端 AI 自動化生成)  |  頁 </w:t>
    </w:r>
    <w:r>
      <w:rPr>
        <w:color w:val="808080"/>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rFonts w:ascii="Arial" w:hAnsi="Arial" w:eastAsia="Microsoft JhengHei"/>
        <w:color w:val="808080"/>
        <w:sz w:val="18"/>
      </w:rPr>
      <w:t>🌱 星光電子製造廠 | 2025 年度企業永續報告書草稿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