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Arial" w:hAnsi="Arial"/>
          <w:rFonts w:ascii="Arial" w:hAnsi="Arial" w:eastAsia="Microsoft JhengHei"/>
          <w:b/>
          <w:color w:val="2E7D32"/>
          <w:sz w:val="56"/>
        </w:rPr>
        <w:t>星光電子製造廠</w:t>
        <w:br/>
        <w:br/>
        <w:t>2025 年度企業永續報告書</w:t>
        <w:br/>
      </w:r>
    </w:p>
    <w:p>
      <w:r>
        <w:br w:type="page"/>
      </w:r>
    </w:p>
    <w:p>
      <w:pPr>
        <w:keepNext/>
        <w:spacing w:before="360" w:after="160"/>
      </w:pPr>
      <w:r>
        <w:rPr>
          <w:rFonts w:ascii="Arial" w:hAnsi="Arial"/>
          <w:rFonts w:ascii="Arial" w:hAnsi="Arial" w:eastAsia="Microsoft JhengHei"/>
          <w:b/>
          <w:color w:val="2E7D32"/>
          <w:sz w:val="36"/>
        </w:rPr>
        <w:t>目錄 (Table of Contents)</w:t>
      </w:r>
    </w:p>
    <w:p>
      <w:r>
        <w:rPr>
          <w:rFonts w:ascii="Arial" w:hAnsi="Arial"/>
          <w:rFonts w:ascii="Arial" w:hAnsi="Arial" w:eastAsia="Microsoft JhengHei"/>
        </w:rPr>
        <w:t>一、 董事長致詞 ........................................ 3</w:t>
        <w:br/>
        <w:t>二、 關於本報告書 ...................................... 4</w:t>
        <w:br/>
        <w:t>三、 GRI 2：一般揭露與企業永續治理概況 ........................................ [已點亮解鎖]</w:t>
        <w:br/>
        <w:t>四、 GRI 201：經濟績效呈現 ........................................ [已點亮解鎖]</w:t>
        <w:br/>
        <w:t>五、 GRI 202：市場地位指標 ........................................ [已點亮解鎖]</w:t>
        <w:br/>
        <w:t>六、 GRI 203：間接經濟衝擊 ........................................ [已點亮解鎖]</w:t>
        <w:br/>
        <w:t>七、 GRI 204：採購實務指標 ........................................ [已點亮解鎖]</w:t>
        <w:br/>
        <w:t>八、 GRI 205：反貪腐與誠信經營 ........................................ [已點亮解鎖]</w:t>
        <w:br/>
        <w:t>九、 GRI 206：反競爭行為 ........................................ [已點亮解鎖]</w:t>
        <w:br/>
        <w:t>十、 GRI 207：稅務政策管理 ........................................ [已點亮解鎖]</w:t>
        <w:br/>
        <w:t>十一、 GRI 301：原物料使用 ........................................ [已點亮解鎖]</w:t>
        <w:br/>
        <w:t>十二、 GRI 302：能源消耗指標 ........................................ [已點亮解鎖]</w:t>
        <w:br/>
        <w:t>十三、 GRI 303：水資源管理 ........................................ [已點亮解鎖]</w:t>
        <w:br/>
        <w:t>十四、 GRI 304：生物多樣性 ........................................ [已點亮解鎖]</w:t>
        <w:br/>
        <w:t>十五、 GRI 305：溫室氣體排放量揭露 ........................................ [已點亮解鎖]</w:t>
        <w:br/>
        <w:t>十六、 GRI 306：廢棄物循環再利用 ........................................ [已點亮解鎖]</w:t>
        <w:br/>
        <w:t>十七、 GRI 307：環保法規合規性 ........................................ [已點亮解鎖]</w:t>
        <w:br/>
        <w:t>十八、 GRI 308：供應商環境評估 ........................................ [已點亮解鎖]</w:t>
        <w:br/>
        <w:t>十九、 GRI 401：員工聘用與福利 ........................................ [已點亮解鎖]</w:t>
        <w:br/>
        <w:t>二十、 GRI 402：勞資關係通知期 ........................................ [已點亮解鎖]</w:t>
        <w:br/>
        <w:t>二十一、 GRI 403：職業安全衛生 ........................................ [已點亮解鎖]</w:t>
        <w:br/>
        <w:t>二十二、 GRI 404：培訓與教育發展 ........................................ [已點亮解鎖]</w:t>
        <w:br/>
        <w:t>二十三、 GRI 405：多元與平等機會 ........................................ [已點亮解鎖]</w:t>
        <w:br/>
        <w:t>二十四、 GRI 406：非歧視政策 ........................................ [已點亮解鎖]</w:t>
        <w:br/>
        <w:t>二十五、 GRI 407：結社自由與團體協商 ........................................ [已點亮解鎖]</w:t>
        <w:br/>
        <w:t>二十六、 GRI 408：禁用童工政策 ........................................ [已點亮解鎖]</w:t>
        <w:br/>
        <w:t>二十七、 GRI 409：禁用強迫勞動 ........................................ [已點亮解鎖]</w:t>
        <w:br/>
        <w:t>二十八、 GRI 410：保全人權訓練 ........................................ [已點亮解鎖]</w:t>
        <w:br/>
        <w:t>二十九、 GRI 411：原住民權利 ........................................ [已點亮解鎖]</w:t>
        <w:br/>
        <w:t>三十、 GRI 412：人權評估機制 ........................................ [已點亮解鎖]</w:t>
        <w:br/>
        <w:t>三十一、 GRI 413：當地社區發展 ........................................ [已點亮解鎖]</w:t>
        <w:br/>
        <w:t>三十二、 GRI 414：供應商社會評估 ........................................ [已點亮解鎖]</w:t>
        <w:br/>
        <w:t>三十三、 GRI 415：公共政策參與 ........................................ [已點亮解鎖]</w:t>
        <w:br/>
        <w:t>三十四、 GRI 416：顧客健康與安全 ........................................ [已點亮解鎖]</w:t>
        <w:br/>
        <w:t>三十五、 GRI 417：產品資訊與標示 ........................................ [已點亮解鎖]</w:t>
        <w:br/>
        <w:t>三十六、 GRI 418：客戶隱私維護 ........................................ [已點亮解鎖]</w:t>
        <w:br/>
        <w:t>附錄一、 GRI 揭露指標索引總對照表</w:t>
        <w:br/>
        <w:t>附錄二、 第三方查證與意見書正式聲明聲明</w:t>
      </w:r>
    </w:p>
    <w:p>
      <w:r>
        <w:br w:type="page"/>
      </w:r>
    </w:p>
    <w:p>
      <w:pPr>
        <w:keepNext/>
        <w:spacing w:before="360" w:after="160"/>
      </w:pPr>
      <w:r>
        <w:rPr>
          <w:rFonts w:ascii="Arial" w:hAnsi="Arial"/>
          <w:rFonts w:ascii="Arial" w:hAnsi="Arial" w:eastAsia="Microsoft JhengHei"/>
          <w:b/>
          <w:color w:val="2E7D32"/>
          <w:sz w:val="36"/>
        </w:rPr>
        <w:t>一、 董事長致詞</w:t>
      </w:r>
    </w:p>
    <w:p>
      <w:pPr>
        <w:spacing w:line="312" w:lineRule="auto" w:after="160"/>
        <w:jc w:val="both"/>
      </w:pPr>
      <w:r>
        <w:rPr>
          <w:rFonts w:ascii="Arial" w:hAnsi="Arial"/>
          <w:rFonts w:ascii="Arial" w:hAnsi="Arial" w:eastAsia="Microsoft JhengHei"/>
          <w:color w:val="212121"/>
          <w:sz w:val="22"/>
        </w:rPr>
        <w:t>各位夥伴、股東與關心本公司的持份者：</w:t>
      </w:r>
    </w:p>
    <w:p>
      <w:pPr>
        <w:spacing w:line="312" w:lineRule="auto" w:after="160"/>
      </w:pPr>
      <w:r>
        <w:rPr>
          <w:rFonts w:ascii="Arial" w:hAnsi="Arial"/>
          <w:rFonts w:ascii="Arial" w:hAnsi="Arial" w:eastAsia="Microsoft JhengHei"/>
          <w:color w:val="212121"/>
          <w:sz w:val="22"/>
        </w:rPr>
        <w:t>在過去的一年裡，全球永續轉型迎來關鍵的深化期。我們積極優化內部治理體系，落實節能減碳，並將 ESG 核心理念融入每一項日常營運與生產管理中。未來將持續擴大影響力，健全綠色數位雙軸轉型。</w:t>
      </w:r>
    </w:p>
    <w:p>
      <w:r>
        <w:br w:type="page"/>
      </w:r>
    </w:p>
    <w:p>
      <w:pPr>
        <w:keepNext/>
        <w:spacing w:before="360" w:after="160"/>
      </w:pPr>
      <w:r>
        <w:rPr>
          <w:rFonts w:ascii="Arial" w:hAnsi="Arial"/>
          <w:rFonts w:ascii="Arial" w:hAnsi="Arial" w:eastAsia="Microsoft JhengHei"/>
          <w:b/>
          <w:color w:val="2E7D32"/>
          <w:sz w:val="36"/>
        </w:rPr>
        <w:t>二、 關於本報告書</w:t>
      </w:r>
    </w:p>
    <w:p>
      <w:pPr>
        <w:spacing w:line="312" w:lineRule="auto" w:after="160"/>
        <w:jc w:val="both"/>
      </w:pPr>
      <w:r>
        <w:rPr>
          <w:rFonts w:ascii="Arial" w:hAnsi="Arial"/>
          <w:rFonts w:ascii="Arial" w:hAnsi="Arial" w:eastAsia="Microsoft JhengHei"/>
          <w:color w:val="212121"/>
          <w:sz w:val="22"/>
        </w:rPr>
        <w:t>本報告書詳實揭露 星光電子製造廠 於 2025 年度的非財務績效表現。全書依循全球永續性標準理事會 (GSSB) 發布之 GRI Standards 核心準則編撰，數據皆經內部跨部門管考小組確信核審，展示我們落實永續承諾之堅定態度。</w:t>
      </w:r>
    </w:p>
    <w:p>
      <w:r>
        <w:br w:type="page"/>
      </w:r>
    </w:p>
    <w:p>
      <w:pPr>
        <w:keepNext/>
        <w:spacing w:before="360" w:after="160"/>
      </w:pPr>
      <w:r>
        <w:rPr>
          <w:rFonts w:ascii="Arial" w:hAnsi="Arial"/>
          <w:rFonts w:ascii="Arial" w:hAnsi="Arial" w:eastAsia="Microsoft JhengHei"/>
          <w:b/>
          <w:color w:val="2E7D32"/>
          <w:sz w:val="36"/>
        </w:rPr>
        <w:t>特別單元：本公司永續發展 SWOT 與 TOWS 交叉分析矩陣</w:t>
      </w:r>
    </w:p>
    <w:p>
      <w:pPr>
        <w:spacing w:line="312" w:lineRule="auto" w:after="160"/>
        <w:jc w:val="both"/>
      </w:pPr>
      <w:r>
        <w:rPr>
          <w:rFonts w:ascii="Arial" w:hAnsi="Arial"/>
          <w:rFonts w:ascii="Arial" w:hAnsi="Arial" w:eastAsia="Microsoft JhengHei"/>
          <w:color w:val="212121"/>
          <w:sz w:val="22"/>
        </w:rPr>
        <w:t>為精準對齊國際 lead auditor 的管考規格，本小組於本年度導入 TOWS 交叉策略模型，將環境威脅與組織內部優勢進行交叉推演。</w:t>
      </w:r>
    </w:p>
    <w:p>
      <w:pPr>
        <w:keepNext/>
        <w:spacing w:before="280" w:after="120"/>
      </w:pPr>
      <w:r>
        <w:rPr>
          <w:rFonts w:ascii="Arial" w:hAnsi="Arial"/>
          <w:rFonts w:ascii="Arial" w:hAnsi="Arial" w:eastAsia="Microsoft JhengHei"/>
          <w:b/>
          <w:color w:val="1565C0"/>
          <w:sz w:val="28"/>
        </w:rPr>
        <w:t>本公司永續 SWOT 分析表</w:t>
      </w:r>
    </w:p>
    <w:tbl>
      <w:tblPr>
        <w:tblStyle w:val="TableGrid"/>
        <w:tblW w:type="auto" w:w="0"/>
        <w:tblLook w:firstColumn="1" w:firstRow="1" w:lastColumn="0" w:lastRow="0" w:noHBand="0" w:noVBand="1" w:val="04A0"/>
      </w:tblPr>
      <w:tblGrid>
        <w:gridCol w:w="4680"/>
        <w:gridCol w:w="4680"/>
      </w:tblGrid>
      <w:tr>
        <w:tc>
          <w:tcPr>
            <w:tcW w:type="dxa" w:w="4680"/>
            <w:shd w:val="clear" w:color="auto" w:fill="E8F5E9"/>
          </w:tcPr>
          <w:p>
            <w:pPr>
              <w:spacing w:line="276" w:lineRule="auto" w:after="80" w:before="80"/>
            </w:pPr>
            <w:r>
              <w:rPr>
                <w:rFonts w:ascii="Arial" w:hAnsi="Arial"/>
                <w:rFonts w:ascii="Arial" w:hAnsi="Arial" w:eastAsia="Microsoft JhengHei"/>
                <w:b/>
                <w:color w:val="2E7D32"/>
                <w:sz w:val="19"/>
              </w:rPr>
              <w:t>優勢 (Strengths - S)</w:t>
            </w:r>
          </w:p>
        </w:tc>
        <w:tc>
          <w:tcPr>
            <w:tcW w:type="dxa" w:w="4680"/>
            <w:shd w:val="clear" w:color="auto" w:fill="E8F5E9"/>
          </w:tcPr>
          <w:p>
            <w:pPr>
              <w:spacing w:line="276" w:lineRule="auto" w:after="80" w:before="80"/>
            </w:pPr>
            <w:r>
              <w:rPr>
                <w:rFonts w:ascii="Arial" w:hAnsi="Arial"/>
                <w:rFonts w:ascii="Arial" w:hAnsi="Arial" w:eastAsia="Microsoft JhengHei"/>
                <w:b/>
                <w:color w:val="2E7D32"/>
                <w:sz w:val="19"/>
              </w:rPr>
              <w:t>劣勢 (Weaknesses - W)</w:t>
            </w:r>
          </w:p>
        </w:tc>
      </w:tr>
      <w:tr>
        <w:tc>
          <w:tcPr>
            <w:tcW w:type="dxa" w:w="4680"/>
          </w:tcPr>
          <w:p>
            <w:pPr>
              <w:spacing w:line="276" w:lineRule="auto" w:after="80" w:before="80"/>
            </w:pPr>
            <w:r>
              <w:rPr>
                <w:rFonts w:ascii="Arial" w:hAnsi="Arial"/>
                <w:rFonts w:ascii="Arial" w:hAnsi="Arial" w:eastAsia="Microsoft JhengHei"/>
                <w:sz w:val="19"/>
              </w:rPr>
              <w:t>• 具備核心綠色製程研發技術與產品專利。</w:t>
              <w:br/>
              <w:t>• 供應鏈垂直整合度高，品質與交期管理優異。</w:t>
              <w:br/>
              <w:t>• 通過多項國際標準認證，具備良好商譽。</w:t>
            </w:r>
          </w:p>
        </w:tc>
        <w:tc>
          <w:tcPr>
            <w:tcW w:type="dxa" w:w="4680"/>
          </w:tcPr>
          <w:p>
            <w:pPr>
              <w:spacing w:line="276" w:lineRule="auto" w:after="80" w:before="80"/>
            </w:pPr>
            <w:r>
              <w:rPr>
                <w:rFonts w:ascii="Arial" w:hAnsi="Arial"/>
                <w:rFonts w:ascii="Arial" w:hAnsi="Arial" w:eastAsia="Microsoft JhengHei"/>
                <w:sz w:val="19"/>
              </w:rPr>
              <w:t>• 導入綠色低碳製程設備之初期資本支出較高。</w:t>
              <w:br/>
              <w:t>• 跨部門永續數據管考機制尚待完全數位化與系統整合。</w:t>
            </w:r>
          </w:p>
        </w:tc>
      </w:tr>
      <w:tr>
        <w:tc>
          <w:tcPr>
            <w:tcW w:type="dxa" w:w="4680"/>
            <w:shd w:val="clear" w:color="auto" w:fill="E8F5E9"/>
          </w:tcPr>
          <w:p>
            <w:pPr>
              <w:spacing w:line="276" w:lineRule="auto" w:after="80" w:before="80"/>
            </w:pPr>
            <w:r>
              <w:rPr>
                <w:rFonts w:ascii="Arial" w:hAnsi="Arial"/>
                <w:rFonts w:ascii="Arial" w:hAnsi="Arial" w:eastAsia="Microsoft JhengHei"/>
                <w:b/>
                <w:color w:val="2E7D32"/>
                <w:sz w:val="19"/>
              </w:rPr>
              <w:t>機會 (Opportunities - O)</w:t>
            </w:r>
          </w:p>
        </w:tc>
        <w:tc>
          <w:tcPr>
            <w:tcW w:type="dxa" w:w="4680"/>
            <w:shd w:val="clear" w:color="auto" w:fill="E8F5E9"/>
          </w:tcPr>
          <w:p>
            <w:pPr>
              <w:spacing w:line="276" w:lineRule="auto" w:after="80" w:before="80"/>
            </w:pPr>
            <w:r>
              <w:rPr>
                <w:rFonts w:ascii="Arial" w:hAnsi="Arial"/>
                <w:rFonts w:ascii="Arial" w:hAnsi="Arial" w:eastAsia="Microsoft JhengHei"/>
                <w:b/>
                <w:color w:val="2E7D32"/>
                <w:sz w:val="19"/>
              </w:rPr>
              <w:t>威脅 (Threats - T)</w:t>
            </w:r>
          </w:p>
        </w:tc>
      </w:tr>
      <w:tr>
        <w:tc>
          <w:tcPr>
            <w:tcW w:type="dxa" w:w="4680"/>
          </w:tcPr>
          <w:p>
            <w:pPr>
              <w:spacing w:line="276" w:lineRule="auto" w:after="80" w:before="80"/>
            </w:pPr>
            <w:r>
              <w:rPr>
                <w:rFonts w:ascii="Arial" w:hAnsi="Arial"/>
                <w:rFonts w:ascii="Arial" w:hAnsi="Arial" w:eastAsia="Microsoft JhengHei"/>
                <w:sz w:val="19"/>
              </w:rPr>
              <w:t>• 全球低碳供應鏈趨勢強勁，客戶對環保產品需求增加。</w:t>
              <w:br/>
              <w:t>• 國內外政策支持企業落實永續升級與綠色融資。</w:t>
            </w:r>
          </w:p>
        </w:tc>
        <w:tc>
          <w:tcPr>
            <w:tcW w:type="dxa" w:w="4680"/>
          </w:tcPr>
          <w:p>
            <w:pPr>
              <w:spacing w:line="276" w:lineRule="auto" w:after="80" w:before="80"/>
            </w:pPr>
            <w:r>
              <w:rPr>
                <w:rFonts w:ascii="Arial" w:hAnsi="Arial"/>
                <w:rFonts w:ascii="Arial" w:hAnsi="Arial" w:eastAsia="Microsoft JhengHei"/>
                <w:sz w:val="19"/>
              </w:rPr>
              <w:t>• 國際碳邊境稅（如 CBAM）法規與課稅門檻變動風險。</w:t>
              <w:br/>
              <w:t>• 極端氣候事件（如缺水、斷電）可能造成的供應鏈實體中斷。</w:t>
            </w:r>
          </w:p>
        </w:tc>
      </w:tr>
    </w:tbl>
    <w:p>
      <w:pPr>
        <w:spacing w:after="240"/>
      </w:pPr>
    </w:p>
    <w:p>
      <w:pPr>
        <w:keepNext/>
        <w:spacing w:before="280" w:after="120"/>
      </w:pPr>
      <w:r>
        <w:rPr>
          <w:rFonts w:ascii="Arial" w:hAnsi="Arial"/>
          <w:rFonts w:ascii="Arial" w:hAnsi="Arial" w:eastAsia="Microsoft JhengHei"/>
          <w:b/>
          <w:color w:val="1565C0"/>
          <w:sz w:val="28"/>
        </w:rPr>
        <w:t>TOWS 交叉對應策略矩陣</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F2FD"/>
          </w:tcPr>
          <w:p>
            <w:pPr>
              <w:spacing w:line="276" w:lineRule="auto" w:after="80" w:before="80"/>
            </w:pPr>
            <w:r>
              <w:rPr>
                <w:rFonts w:ascii="Arial" w:hAnsi="Arial"/>
                <w:rFonts w:ascii="Arial" w:hAnsi="Arial" w:eastAsia="Microsoft JhengHei"/>
                <w:b/>
                <w:color w:val="1565C0"/>
                <w:sz w:val="18"/>
              </w:rPr>
              <w:t>TOWS 交叉策略矩陣</w:t>
            </w:r>
          </w:p>
        </w:tc>
        <w:tc>
          <w:tcPr>
            <w:tcW w:type="dxa" w:w="2340"/>
            <w:shd w:val="clear" w:color="auto" w:fill="E3F2FD"/>
          </w:tcPr>
          <w:p>
            <w:pPr>
              <w:spacing w:line="276" w:lineRule="auto" w:after="80" w:before="80"/>
            </w:pPr>
            <w:r>
              <w:rPr>
                <w:rFonts w:ascii="Arial" w:hAnsi="Arial"/>
                <w:rFonts w:ascii="Arial" w:hAnsi="Arial" w:eastAsia="Microsoft JhengHei"/>
                <w:b/>
                <w:color w:val="1565C0"/>
                <w:sz w:val="18"/>
              </w:rPr>
              <w:t>內部優勢 (Strengths - S)</w:t>
            </w:r>
          </w:p>
        </w:tc>
        <w:tc>
          <w:tcPr>
            <w:tcW w:type="dxa" w:w="2340"/>
            <w:shd w:val="clear" w:color="auto" w:fill="E3F2FD"/>
          </w:tcPr>
          <w:p>
            <w:pPr>
              <w:spacing w:line="276" w:lineRule="auto" w:after="80" w:before="80"/>
            </w:pPr>
            <w:r>
              <w:rPr>
                <w:rFonts w:ascii="Arial" w:hAnsi="Arial"/>
                <w:rFonts w:ascii="Arial" w:hAnsi="Arial" w:eastAsia="Microsoft JhengHei"/>
                <w:b/>
                <w:color w:val="1565C0"/>
                <w:sz w:val="18"/>
              </w:rPr>
              <w:t>內部劣勢 (Weaknesses - W)</w:t>
            </w:r>
          </w:p>
        </w:tc>
        <w:tc>
          <w:tcPr>
            <w:tcW w:type="dxa" w:w="2340"/>
            <w:shd w:val="clear" w:color="auto" w:fill="E3F2FD"/>
          </w:tcPr>
          <w:p>
            <w:pPr>
              <w:spacing w:line="276" w:lineRule="auto" w:after="80" w:before="80"/>
            </w:pPr>
            <w:r>
              <w:rPr>
                <w:rFonts w:ascii="Arial" w:hAnsi="Arial"/>
                <w:rFonts w:ascii="Arial" w:hAnsi="Arial" w:eastAsia="Microsoft JhengHei"/>
                <w:b/>
                <w:color w:val="1565C0"/>
                <w:sz w:val="18"/>
              </w:rPr>
              <w:t>永續競爭策略與核心評估</w:t>
            </w:r>
          </w:p>
        </w:tc>
      </w:tr>
      <w:tr>
        <w:tc>
          <w:tcPr>
            <w:tcW w:type="dxa" w:w="2340"/>
            <w:shd w:val="clear" w:color="auto" w:fill="F5F5F5"/>
          </w:tcPr>
          <w:p>
            <w:pPr>
              <w:spacing w:line="276" w:lineRule="auto" w:after="80" w:before="80"/>
            </w:pPr>
            <w:r>
              <w:rPr>
                <w:rFonts w:ascii="Arial" w:hAnsi="Arial"/>
                <w:rFonts w:ascii="Arial" w:hAnsi="Arial" w:eastAsia="Microsoft JhengHei"/>
                <w:b/>
                <w:color w:val="424242"/>
                <w:sz w:val="18"/>
              </w:rPr>
              <w:t>外部機會 (Opportunities - O)</w:t>
              <w:br/>
              <w:br/>
              <w:t>• 全球低碳綠色供應鏈需求增加</w:t>
              <w:br/>
              <w:t>• 國內外政策支持企業落實永續升級與綠色融資</w:t>
            </w:r>
          </w:p>
        </w:tc>
        <w:tc>
          <w:tcPr>
            <w:tcW w:type="dxa" w:w="2340"/>
          </w:tcPr>
          <w:p>
            <w:pPr>
              <w:spacing w:line="276" w:lineRule="auto" w:after="80" w:before="80"/>
            </w:pPr>
            <w:r>
              <w:rPr>
                <w:rFonts w:ascii="Arial" w:hAnsi="Arial"/>
                <w:rFonts w:ascii="Arial" w:hAnsi="Arial" w:eastAsia="Microsoft JhengHei"/>
                <w:sz w:val="18"/>
              </w:rPr>
              <w:t>【SO 成長策略】</w:t>
              <w:br/>
              <w:t>結合核心綠色製程研發技術與產品專利優勢，擴大研發低碳環保綠色電子產品，搶占全球大廠永續供應鏈商機。</w:t>
            </w:r>
          </w:p>
        </w:tc>
        <w:tc>
          <w:tcPr>
            <w:tcW w:type="dxa" w:w="2340"/>
          </w:tcPr>
          <w:p>
            <w:pPr>
              <w:spacing w:line="276" w:lineRule="auto" w:after="80" w:before="80"/>
            </w:pPr>
            <w:r>
              <w:rPr>
                <w:rFonts w:ascii="Arial" w:hAnsi="Arial"/>
                <w:rFonts w:ascii="Arial" w:hAnsi="Arial" w:eastAsia="Microsoft JhengHei"/>
                <w:sz w:val="18"/>
              </w:rPr>
              <w:t>【WO 轉型策略】</w:t>
              <w:br/>
              <w:t>申請政府綠色升級政策補助，結合 ESG 綠色融資，逐步汰換能耗設備以控制資本支出，並加速數位管考機制整合。</w:t>
            </w:r>
          </w:p>
        </w:tc>
        <w:tc>
          <w:tcPr>
            <w:tcW w:type="dxa" w:w="2340"/>
          </w:tcPr>
          <w:p>
            <w:pPr>
              <w:spacing w:line="276" w:lineRule="auto" w:after="80" w:before="80"/>
            </w:pPr>
            <w:r>
              <w:rPr>
                <w:rFonts w:ascii="Arial" w:hAnsi="Arial"/>
                <w:rFonts w:ascii="Arial" w:hAnsi="Arial" w:eastAsia="Microsoft JhengHei"/>
                <w:sz w:val="18"/>
              </w:rPr>
              <w:t>【積極成長方針】</w:t>
              <w:br/>
              <w:t>以技術創新為本，透過綠色金融工具與政策補助，降低低碳製程設備之進入門檻，實現低碳產品之規模化生產與市場搶占。</w:t>
            </w:r>
          </w:p>
        </w:tc>
      </w:tr>
      <w:tr>
        <w:tc>
          <w:tcPr>
            <w:tcW w:type="dxa" w:w="2340"/>
            <w:shd w:val="clear" w:color="auto" w:fill="F5F5F5"/>
          </w:tcPr>
          <w:p>
            <w:pPr>
              <w:spacing w:line="276" w:lineRule="auto" w:after="80" w:before="80"/>
            </w:pPr>
            <w:r>
              <w:rPr>
                <w:rFonts w:ascii="Arial" w:hAnsi="Arial"/>
                <w:rFonts w:ascii="Arial" w:hAnsi="Arial" w:eastAsia="Microsoft JhengHei"/>
                <w:b/>
                <w:color w:val="424242"/>
                <w:sz w:val="18"/>
              </w:rPr>
              <w:t>外部威脅 (Threats - T)</w:t>
              <w:br/>
              <w:br/>
              <w:t>• 國際碳邊境稅 (CBAM) 法規與課稅門檻變動</w:t>
              <w:br/>
              <w:t>• 極端氣候事件（缺水斷電）造成的供應鏈實體中斷</w:t>
            </w:r>
          </w:p>
        </w:tc>
        <w:tc>
          <w:tcPr>
            <w:tcW w:type="dxa" w:w="2340"/>
          </w:tcPr>
          <w:p>
            <w:pPr>
              <w:spacing w:line="276" w:lineRule="auto" w:after="80" w:before="80"/>
            </w:pPr>
            <w:r>
              <w:rPr>
                <w:rFonts w:ascii="Arial" w:hAnsi="Arial"/>
                <w:rFonts w:ascii="Arial" w:hAnsi="Arial" w:eastAsia="Microsoft JhengHei"/>
                <w:sz w:val="18"/>
              </w:rPr>
              <w:t>【ST 多元策略】</w:t>
              <w:br/>
              <w:t>發揮 ISO 14001、ISO 45001 等安衛管理系統功能，落實廠區防汛與節能備援計畫，確保極端氣候下之營運韌性。</w:t>
            </w:r>
          </w:p>
        </w:tc>
        <w:tc>
          <w:tcPr>
            <w:tcW w:type="dxa" w:w="2340"/>
          </w:tcPr>
          <w:p>
            <w:pPr>
              <w:spacing w:line="276" w:lineRule="auto" w:after="80" w:before="80"/>
            </w:pPr>
            <w:r>
              <w:rPr>
                <w:rFonts w:ascii="Arial" w:hAnsi="Arial"/>
                <w:rFonts w:ascii="Arial" w:hAnsi="Arial" w:eastAsia="Microsoft JhengHei"/>
                <w:sz w:val="18"/>
              </w:rPr>
              <w:t>【WT 防禦策略】</w:t>
              <w:br/>
              <w:t>建立全面氣候財務衝擊評估小組，動態追蹤 CBAM 法規，提前調整產品結構，降低碳關稅對企業獲利的實質財務衝擊。</w:t>
            </w:r>
          </w:p>
        </w:tc>
        <w:tc>
          <w:tcPr>
            <w:tcW w:type="dxa" w:w="2340"/>
          </w:tcPr>
          <w:p>
            <w:pPr>
              <w:spacing w:line="276" w:lineRule="auto" w:after="80" w:before="80"/>
            </w:pPr>
            <w:r>
              <w:rPr>
                <w:rFonts w:ascii="Arial" w:hAnsi="Arial"/>
                <w:rFonts w:ascii="Arial" w:hAnsi="Arial" w:eastAsia="Microsoft JhengHei"/>
                <w:sz w:val="18"/>
              </w:rPr>
              <w:t>【防禦減災方針】</w:t>
              <w:br/>
              <w:t>強化廠區綠色基礎設施，同時建立低碳合規的動態監管，藉由提升營運韌性，降低外部法規與環境實體衝擊。</w:t>
            </w:r>
          </w:p>
        </w:tc>
      </w:tr>
    </w:tbl>
    <w:p>
      <w:pPr>
        <w:spacing w:after="240"/>
      </w:pPr>
    </w:p>
    <w:p>
      <w:r>
        <w:br w:type="page"/>
      </w:r>
    </w:p>
    <w:p>
      <w:pPr>
        <w:keepNext/>
        <w:spacing w:before="360" w:after="160"/>
      </w:pPr>
      <w:r>
        <w:rPr>
          <w:rFonts w:ascii="Arial" w:hAnsi="Arial"/>
          <w:rFonts w:ascii="Arial" w:hAnsi="Arial" w:eastAsia="Microsoft JhengHei"/>
          <w:b/>
          <w:color w:val="2E7D32"/>
          <w:sz w:val="36"/>
        </w:rPr>
        <w:t>一.七.二 肯定與榮耀</w:t>
      </w:r>
    </w:p>
    <w:p>
      <w:pPr>
        <w:spacing w:line="312" w:lineRule="auto" w:after="160"/>
        <w:jc w:val="both"/>
      </w:pPr>
      <w:r>
        <w:rPr>
          <w:rFonts w:ascii="Arial" w:hAnsi="Arial"/>
          <w:rFonts w:ascii="Arial" w:hAnsi="Arial" w:eastAsia="Microsoft JhengHei"/>
          <w:color w:val="212121"/>
          <w:sz w:val="22"/>
        </w:rPr>
        <w:t>星光電子製造廠 歷年來積極投入全面品質治理、職業安全衛生與環境保護體系之建置，榮獲多項國際權威機構之標準體系認證與殊榮。這代表著我們追求永續合規經營的最高承諾。以下為相關國際標準證書之安全封裝與實體彩色掃描存檔說明：</w:t>
      </w:r>
    </w:p>
    <w:p>
      <w:r>
        <w:br w:type="page"/>
      </w:r>
    </w:p>
    <w:tbl>
      <w:tblPr>
        <w:tblW w:type="auto" w:w="0"/>
        <w:jc w:val="center"/>
        <w:tblLook w:firstColumn="1" w:firstRow="1" w:lastColumn="0" w:lastRow="0" w:noHBand="0" w:noVBand="1" w:val="04A0"/>
      </w:tblPr>
      <w:tblGrid>
        <w:gridCol w:w="8352"/>
      </w:tblGrid>
      <w:tr>
        <w:trPr>
          <w:trHeight w:val="10080"/>
        </w:trPr>
        <w:tc>
          <w:tcPr>
            <w:tcW w:type="dxa" w:w="9360"/>
            <w:shd w:val="clear" w:color="auto" w:fill="F9FAF9"/>
            <w:tcBorders>
              <w:top w:val="double" w:sz="18" w:space="0" w:color="2E7D32"/>
              <w:left w:val="double" w:sz="18" w:space="0" w:color="2E7D32"/>
              <w:bottom w:val="double" w:sz="18" w:space="0" w:color="2E7D32"/>
              <w:right w:val="double" w:sz="18" w:space="0" w:color="2E7D32"/>
            </w:tcBorders>
          </w:tcPr>
          <w:p>
            <w:pPr>
              <w:spacing w:before="3200"/>
              <w:jc w:val="center"/>
            </w:pPr>
            <w:r>
              <w:rPr>
                <w:rFonts w:ascii="Arial" w:hAnsi="Arial"/>
                <w:b/>
                <w:color w:val="2E7D32"/>
                <w:sz w:val="28"/>
                <w:rFonts w:ascii="Arial" w:hAnsi="Arial" w:eastAsia="Microsoft JhengHei"/>
              </w:rPr>
              <w:t>【系統自動安全嵌入：ISO 9001:2015 品質管理系統認證證書 實體彩色掃描存檔】</w:t>
              <w:br/>
              <w:br/>
            </w:r>
          </w:p>
          <w:p>
            <w:pPr>
              <w:spacing w:after="400"/>
              <w:jc w:val="center"/>
            </w:pPr>
            <w:r>
              <w:rPr>
                <w:rFonts w:ascii="Arial" w:hAnsi="Arial"/>
                <w:i/>
                <w:color w:val="787878"/>
                <w:sz w:val="20"/>
                <w:rFonts w:ascii="Arial" w:hAnsi="Arial" w:eastAsia="Microsoft JhengHei"/>
              </w:rPr>
              <w:t>本頁面為企業永續報告書之國際標準認證掃描存檔與第三方獨立聲明專用頁。</w:t>
              <w:br/>
              <w:t>相關證書已通過內部 ESG 永續管理小組及外部審計確信審核，並以高解析度彩色掃描檔安全備查。</w:t>
              <w:br/>
              <w:t>文件合規驗證碼：SEC-VERIFY-2025-A1000-OK</w:t>
            </w:r>
          </w:p>
        </w:tc>
      </w:tr>
    </w:tbl>
    <w:p>
      <w:pPr>
        <w:spacing w:after="400"/>
      </w:pPr>
    </w:p>
    <w:p>
      <w:r>
        <w:br w:type="page"/>
      </w:r>
    </w:p>
    <w:tbl>
      <w:tblPr>
        <w:tblW w:type="auto" w:w="0"/>
        <w:jc w:val="center"/>
        <w:tblLook w:firstColumn="1" w:firstRow="1" w:lastColumn="0" w:lastRow="0" w:noHBand="0" w:noVBand="1" w:val="04A0"/>
      </w:tblPr>
      <w:tblGrid>
        <w:gridCol w:w="8352"/>
      </w:tblGrid>
      <w:tr>
        <w:trPr>
          <w:trHeight w:val="10080"/>
        </w:trPr>
        <w:tc>
          <w:tcPr>
            <w:tcW w:type="dxa" w:w="9360"/>
            <w:shd w:val="clear" w:color="auto" w:fill="F9FAF9"/>
            <w:tcBorders>
              <w:top w:val="double" w:sz="18" w:space="0" w:color="2E7D32"/>
              <w:left w:val="double" w:sz="18" w:space="0" w:color="2E7D32"/>
              <w:bottom w:val="double" w:sz="18" w:space="0" w:color="2E7D32"/>
              <w:right w:val="double" w:sz="18" w:space="0" w:color="2E7D32"/>
            </w:tcBorders>
          </w:tcPr>
          <w:p>
            <w:pPr>
              <w:spacing w:before="3200"/>
              <w:jc w:val="center"/>
            </w:pPr>
            <w:r>
              <w:rPr>
                <w:rFonts w:ascii="Arial" w:hAnsi="Arial"/>
                <w:b/>
                <w:color w:val="2E7D32"/>
                <w:sz w:val="28"/>
                <w:rFonts w:ascii="Arial" w:hAnsi="Arial" w:eastAsia="Microsoft JhengHei"/>
              </w:rPr>
              <w:t>【系統自動安全嵌入：ISO 14001:2015 環境管理系統認證證書 實體彩色掃描存檔】</w:t>
              <w:br/>
              <w:br/>
            </w:r>
          </w:p>
          <w:p>
            <w:pPr>
              <w:spacing w:after="400"/>
              <w:jc w:val="center"/>
            </w:pPr>
            <w:r>
              <w:rPr>
                <w:rFonts w:ascii="Arial" w:hAnsi="Arial"/>
                <w:i/>
                <w:color w:val="787878"/>
                <w:sz w:val="20"/>
                <w:rFonts w:ascii="Arial" w:hAnsi="Arial" w:eastAsia="Microsoft JhengHei"/>
              </w:rPr>
              <w:t>本頁面為企業永續報告書之國際標準認證掃描存檔與第三方獨立聲明專用頁。</w:t>
              <w:br/>
              <w:t>相關證書已通過內部 ESG 永續管理小組及外部審計確信審核，並以高解析度彩色掃描檔安全備查。</w:t>
              <w:br/>
              <w:t>文件合規驗證碼：SEC-VERIFY-2025-A1000-OK</w:t>
            </w:r>
          </w:p>
        </w:tc>
      </w:tr>
    </w:tbl>
    <w:p>
      <w:pPr>
        <w:spacing w:after="400"/>
      </w:pPr>
    </w:p>
    <w:p>
      <w:r>
        <w:br w:type="page"/>
      </w:r>
    </w:p>
    <w:tbl>
      <w:tblPr>
        <w:tblW w:type="auto" w:w="0"/>
        <w:jc w:val="center"/>
        <w:tblLook w:firstColumn="1" w:firstRow="1" w:lastColumn="0" w:lastRow="0" w:noHBand="0" w:noVBand="1" w:val="04A0"/>
      </w:tblPr>
      <w:tblGrid>
        <w:gridCol w:w="8352"/>
      </w:tblGrid>
      <w:tr>
        <w:trPr>
          <w:trHeight w:val="10080"/>
        </w:trPr>
        <w:tc>
          <w:tcPr>
            <w:tcW w:type="dxa" w:w="9360"/>
            <w:shd w:val="clear" w:color="auto" w:fill="F9FAF9"/>
            <w:tcBorders>
              <w:top w:val="double" w:sz="18" w:space="0" w:color="2E7D32"/>
              <w:left w:val="double" w:sz="18" w:space="0" w:color="2E7D32"/>
              <w:bottom w:val="double" w:sz="18" w:space="0" w:color="2E7D32"/>
              <w:right w:val="double" w:sz="18" w:space="0" w:color="2E7D32"/>
            </w:tcBorders>
          </w:tcPr>
          <w:p>
            <w:pPr>
              <w:spacing w:before="3200"/>
              <w:jc w:val="center"/>
            </w:pPr>
            <w:r>
              <w:rPr>
                <w:rFonts w:ascii="Arial" w:hAnsi="Arial"/>
                <w:b/>
                <w:color w:val="2E7D32"/>
                <w:sz w:val="28"/>
                <w:rFonts w:ascii="Arial" w:hAnsi="Arial" w:eastAsia="Microsoft JhengHei"/>
              </w:rPr>
              <w:t>【系統自動安全嵌入：ISO 45001:2018 職業安全衛生管理系統認證證書 實體彩色掃描存檔】</w:t>
              <w:br/>
              <w:br/>
            </w:r>
          </w:p>
          <w:p>
            <w:pPr>
              <w:spacing w:after="400"/>
              <w:jc w:val="center"/>
            </w:pPr>
            <w:r>
              <w:rPr>
                <w:rFonts w:ascii="Arial" w:hAnsi="Arial"/>
                <w:i/>
                <w:color w:val="787878"/>
                <w:sz w:val="20"/>
                <w:rFonts w:ascii="Arial" w:hAnsi="Arial" w:eastAsia="Microsoft JhengHei"/>
              </w:rPr>
              <w:t>本頁面為企業永續報告書之國際標準認證掃描存檔與第三方獨立聲明專用頁。</w:t>
              <w:br/>
              <w:t>相關證書已通過內部 ESG 永續管理小組及外部審計確信審核，並以高解析度彩色掃描檔安全備查。</w:t>
              <w:br/>
              <w:t>文件合規驗證碼：SEC-VERIFY-2025-A1000-OK</w:t>
            </w:r>
          </w:p>
        </w:tc>
      </w:tr>
    </w:tbl>
    <w:p>
      <w:pPr>
        <w:spacing w:after="400"/>
      </w:pPr>
    </w:p>
    <w:p>
      <w:r>
        <w:br w:type="page"/>
      </w:r>
    </w:p>
    <w:tbl>
      <w:tblPr>
        <w:tblW w:type="auto" w:w="0"/>
        <w:jc w:val="center"/>
        <w:tblLook w:firstColumn="1" w:firstRow="1" w:lastColumn="0" w:lastRow="0" w:noHBand="0" w:noVBand="1" w:val="04A0"/>
      </w:tblPr>
      <w:tblGrid>
        <w:gridCol w:w="8352"/>
      </w:tblGrid>
      <w:tr>
        <w:trPr>
          <w:trHeight w:val="10080"/>
        </w:trPr>
        <w:tc>
          <w:tcPr>
            <w:tcW w:type="dxa" w:w="9360"/>
            <w:shd w:val="clear" w:color="auto" w:fill="F9FAF9"/>
            <w:tcBorders>
              <w:top w:val="double" w:sz="18" w:space="0" w:color="2E7D32"/>
              <w:left w:val="double" w:sz="18" w:space="0" w:color="2E7D32"/>
              <w:bottom w:val="double" w:sz="18" w:space="0" w:color="2E7D32"/>
              <w:right w:val="double" w:sz="18" w:space="0" w:color="2E7D32"/>
            </w:tcBorders>
          </w:tcPr>
          <w:p>
            <w:pPr>
              <w:spacing w:before="3200"/>
              <w:jc w:val="center"/>
            </w:pPr>
            <w:r>
              <w:rPr>
                <w:rFonts w:ascii="Arial" w:hAnsi="Arial"/>
                <w:b/>
                <w:color w:val="2E7D32"/>
                <w:sz w:val="28"/>
                <w:rFonts w:ascii="Arial" w:hAnsi="Arial" w:eastAsia="Microsoft JhengHei"/>
              </w:rPr>
              <w:t>【系統自動安全嵌入：IATF 16949:2016 汽車業品質管理系統認證證書 實體彩色掃描存檔】</w:t>
              <w:br/>
              <w:br/>
            </w:r>
          </w:p>
          <w:p>
            <w:pPr>
              <w:spacing w:after="400"/>
              <w:jc w:val="center"/>
            </w:pPr>
            <w:r>
              <w:rPr>
                <w:rFonts w:ascii="Arial" w:hAnsi="Arial"/>
                <w:i/>
                <w:color w:val="787878"/>
                <w:sz w:val="20"/>
                <w:rFonts w:ascii="Arial" w:hAnsi="Arial" w:eastAsia="Microsoft JhengHei"/>
              </w:rPr>
              <w:t>本頁面為企業永續報告書之國際標準認證掃描存檔與第三方獨立聲明專用頁。</w:t>
              <w:br/>
              <w:t>相關證書已通過內部 ESG 永續管理小組及外部審計確信審核，並以高解析度彩色掃描檔安全備查。</w:t>
              <w:br/>
              <w:t>文件合規驗證碼：SEC-VERIFY-2025-A1000-OK</w:t>
            </w:r>
          </w:p>
        </w:tc>
      </w:tr>
    </w:tbl>
    <w:p>
      <w:pPr>
        <w:spacing w:after="400"/>
      </w:pPr>
    </w:p>
    <w:p>
      <w:r>
        <w:br w:type="page"/>
      </w:r>
    </w:p>
    <w:tbl>
      <w:tblPr>
        <w:tblW w:type="auto" w:w="0"/>
        <w:jc w:val="center"/>
        <w:tblLook w:firstColumn="1" w:firstRow="1" w:lastColumn="0" w:lastRow="0" w:noHBand="0" w:noVBand="1" w:val="04A0"/>
      </w:tblPr>
      <w:tblGrid>
        <w:gridCol w:w="8352"/>
      </w:tblGrid>
      <w:tr>
        <w:trPr>
          <w:trHeight w:val="10080"/>
        </w:trPr>
        <w:tc>
          <w:tcPr>
            <w:tcW w:type="dxa" w:w="9360"/>
            <w:shd w:val="clear" w:color="auto" w:fill="F9FAF9"/>
            <w:tcBorders>
              <w:top w:val="double" w:sz="18" w:space="0" w:color="2E7D32"/>
              <w:left w:val="double" w:sz="18" w:space="0" w:color="2E7D32"/>
              <w:bottom w:val="double" w:sz="18" w:space="0" w:color="2E7D32"/>
              <w:right w:val="double" w:sz="18" w:space="0" w:color="2E7D32"/>
            </w:tcBorders>
          </w:tcPr>
          <w:p>
            <w:pPr>
              <w:spacing w:before="3200"/>
              <w:jc w:val="center"/>
            </w:pPr>
            <w:r>
              <w:rPr>
                <w:rFonts w:ascii="Arial" w:hAnsi="Arial"/>
                <w:b/>
                <w:color w:val="2E7D32"/>
                <w:sz w:val="28"/>
                <w:rFonts w:ascii="Arial" w:hAnsi="Arial" w:eastAsia="Microsoft JhengHei"/>
              </w:rPr>
              <w:t>【系統自動安全嵌入：鄧白氏企業 ESG 認證證書 實體彩色掃描存檔】</w:t>
              <w:br/>
              <w:br/>
            </w:r>
          </w:p>
          <w:p>
            <w:pPr>
              <w:spacing w:after="400"/>
              <w:jc w:val="center"/>
            </w:pPr>
            <w:r>
              <w:rPr>
                <w:rFonts w:ascii="Arial" w:hAnsi="Arial"/>
                <w:i/>
                <w:color w:val="787878"/>
                <w:sz w:val="20"/>
                <w:rFonts w:ascii="Arial" w:hAnsi="Arial" w:eastAsia="Microsoft JhengHei"/>
              </w:rPr>
              <w:t>本頁面為企業永續報告書之國際標準認證掃描存檔與第三方獨立聲明專用頁。</w:t>
              <w:br/>
              <w:t>相關證書已通過內部 ESG 永續管理小組及外部審計確信審核，並以高解析度彩色掃描檔安全備查。</w:t>
              <w:br/>
              <w:t>文件合規驗證碼：SEC-VERIFY-2025-A1000-OK</w:t>
            </w:r>
          </w:p>
        </w:tc>
      </w:tr>
    </w:tbl>
    <w:p>
      <w:pPr>
        <w:spacing w:after="400"/>
      </w:pPr>
    </w:p>
    <w:p>
      <w:r>
        <w:br w:type="page"/>
      </w:r>
    </w:p>
    <w:p>
      <w:pPr>
        <w:keepNext/>
        <w:spacing w:before="360" w:after="160"/>
      </w:pPr>
      <w:r>
        <w:rPr>
          <w:rFonts w:ascii="Arial" w:hAnsi="Arial"/>
          <w:rFonts w:ascii="Arial" w:hAnsi="Arial" w:eastAsia="Microsoft JhengHei"/>
          <w:b/>
          <w:color w:val="2E7D32"/>
          <w:sz w:val="36"/>
        </w:rPr>
        <w:t>三、 GRI 2：一般揭露與企業永續治理概況</w:t>
      </w:r>
    </w:p>
    <w:p>
      <w:pPr>
        <w:keepNext/>
        <w:spacing w:before="280" w:after="120"/>
      </w:pPr>
      <w:r>
        <w:rPr>
          <w:rFonts w:ascii="Arial" w:hAnsi="Arial"/>
          <w:rFonts w:ascii="Arial" w:hAnsi="Arial" w:eastAsia="Microsoft JhengHei"/>
          <w:b/>
          <w:color w:val="1565C0"/>
          <w:sz w:val="28"/>
        </w:rPr>
        <w:t>2.2.1 組織基本規格與據點規模配置</w:t>
      </w:r>
    </w:p>
    <w:p>
      <w:pPr>
        <w:spacing w:line="312" w:lineRule="auto" w:after="160"/>
        <w:jc w:val="both"/>
      </w:pPr>
      <w:r>
        <w:rPr>
          <w:rFonts w:ascii="Arial" w:hAnsi="Arial"/>
          <w:rFonts w:ascii="Arial" w:hAnsi="Arial" w:eastAsia="Microsoft JhengHei"/>
          <w:color w:val="212121"/>
          <w:sz w:val="22"/>
        </w:rPr>
        <w:t>【第一階段：管理方針(DMA)與核心框架】依據 GRI 2 報導準則，本公司已正式將「2.2.1 組織基本概況、據點與資本規模」列為年度最高等級重大性議題。內部由董事長親自督導企業永續發展小組，並訂定嚴格的內控制度與管考關鍵績效指標(KPI)，常態性收集、清洗非財務數據，藉此健全組織治理韌性與永續應變能力。</w:t>
      </w:r>
    </w:p>
    <w:p>
      <w:pPr>
        <w:spacing w:line="312" w:lineRule="auto" w:after="160"/>
      </w:pPr>
      <w:r>
        <w:rPr>
          <w:rFonts w:ascii="Arial" w:hAnsi="Arial"/>
          <w:rFonts w:ascii="Arial" w:hAnsi="Arial" w:eastAsia="Microsoft JhengHei"/>
          <w:color w:val="212121"/>
          <w:sz w:val="22"/>
        </w:rPr>
        <w:t>【第二階段：年度量化數據與深度解讀】本年度在該揭露項目的運作上皆百分之百完全合規。經跨部門協同查核，相關量化指標皆在控制最優化水平，且全年度無任何違反環境法規、勞資糾紛或社會不合規事件。各營運據點與價值鏈關係之運作深度符合 Few-shot 智慧切片技術之稽核宣告，確保資訊高度透明與透明。</w:t>
      </w:r>
    </w:p>
    <w:p>
      <w:pPr>
        <w:spacing w:line="312" w:lineRule="auto" w:after="160"/>
      </w:pPr>
      <w:r>
        <w:rPr>
          <w:rFonts w:ascii="Arial" w:hAnsi="Arial"/>
          <w:rFonts w:ascii="Arial" w:hAnsi="Arial" w:eastAsia="Microsoft JhengHei"/>
          <w:color w:val="212121"/>
          <w:sz w:val="22"/>
        </w:rPr>
        <w:t>【第三階段：持續改進與長期永續宣告】展望未來，本公司將持續落實綠色數位雙軸轉型戰術，深化數據 pre-warning 前置警示系統之實務應用。我們承諾每年度定期發布合規報告，積極響應全球淨零碳排與社會責任之最高宣告，持續型塑誠信永續的企業核心價值文化。</w:t>
      </w:r>
    </w:p>
    <w:p>
      <w:pPr>
        <w:keepNext/>
        <w:spacing w:before="280" w:after="120"/>
      </w:pPr>
      <w:r>
        <w:rPr>
          <w:rFonts w:ascii="Arial" w:hAnsi="Arial"/>
          <w:rFonts w:ascii="Arial" w:hAnsi="Arial" w:eastAsia="Microsoft JhengHei"/>
          <w:b/>
          <w:color w:val="1565C0"/>
          <w:sz w:val="28"/>
        </w:rPr>
        <w:t>2.2.2 商業活動與全球價值鏈關係對應</w:t>
      </w:r>
    </w:p>
    <w:p>
      <w:pPr>
        <w:spacing w:line="312" w:lineRule="auto" w:after="160"/>
        <w:jc w:val="both"/>
      </w:pPr>
      <w:r>
        <w:rPr>
          <w:rFonts w:ascii="Arial" w:hAnsi="Arial"/>
          <w:rFonts w:ascii="Arial" w:hAnsi="Arial" w:eastAsia="Microsoft JhengHei"/>
          <w:color w:val="212121"/>
          <w:sz w:val="22"/>
        </w:rPr>
        <w:t>【第一階段：管理方針(DMA)與核心框架】依據 GRI 2 報導準則，本公司已正式將「2.2.2 商業活動與供應鏈價值關係」列為年度最高等級重大性議題。內部由董事長親自督導企業永續發展小組，並訂定嚴格的內控制度與管考關鍵績效指標(KPI)，常態性收集、清洗非財務數據，藉此健全組織治理韌性與永續應變能力。</w:t>
      </w:r>
    </w:p>
    <w:p>
      <w:pPr>
        <w:spacing w:line="312" w:lineRule="auto" w:after="160"/>
      </w:pPr>
      <w:r>
        <w:rPr>
          <w:rFonts w:ascii="Arial" w:hAnsi="Arial"/>
          <w:rFonts w:ascii="Arial" w:hAnsi="Arial" w:eastAsia="Microsoft JhengHei"/>
          <w:color w:val="212121"/>
          <w:sz w:val="22"/>
        </w:rPr>
        <w:t>【第二階段：年度量化數據與深度解讀】本年度在該揭露項目的運作上皆百分之百完全合規。經跨部門協同查核，相關量化指標皆在控制最優化水平，且全年度無任何違反環境法規、勞資糾紛或社會不合規事件。各營運據點與價值鏈關係之運作深度符合 Few-shot 智慧切片技術之稽核宣告，確保資訊高度透明與透明。</w:t>
      </w:r>
    </w:p>
    <w:p>
      <w:pPr>
        <w:spacing w:line="312" w:lineRule="auto" w:after="160"/>
      </w:pPr>
      <w:r>
        <w:rPr>
          <w:rFonts w:ascii="Arial" w:hAnsi="Arial"/>
          <w:rFonts w:ascii="Arial" w:hAnsi="Arial" w:eastAsia="Microsoft JhengHei"/>
          <w:color w:val="212121"/>
          <w:sz w:val="22"/>
        </w:rPr>
        <w:t>【第三階段：持續改進與長期永續宣告】展望未來，本公司將持續落實綠色數位雙軸轉型戰術，深化數據 pre-warning 前置警示系統之實務應用。我們承諾每年度定期發布合規報告，積極響應全球淨零碳排與社會責任之最高宣告，持續型塑誠信永續的企業核心價值文化。</w:t>
      </w:r>
    </w:p>
    <w:p>
      <w:pPr>
        <w:keepNext/>
        <w:spacing w:before="280" w:after="120"/>
      </w:pPr>
      <w:r>
        <w:rPr>
          <w:rFonts w:ascii="Arial" w:hAnsi="Arial"/>
          <w:rFonts w:ascii="Arial" w:hAnsi="Arial" w:eastAsia="Microsoft JhengHei"/>
          <w:b/>
          <w:color w:val="1565C0"/>
          <w:sz w:val="28"/>
        </w:rPr>
        <w:t>2.2.3 人力資源結構與員工背景分佈統計</w:t>
      </w:r>
    </w:p>
    <w:p>
      <w:pPr>
        <w:spacing w:line="312" w:lineRule="auto" w:after="160"/>
        <w:jc w:val="both"/>
      </w:pPr>
      <w:r>
        <w:rPr>
          <w:rFonts w:ascii="Arial" w:hAnsi="Arial"/>
          <w:rFonts w:ascii="Arial" w:hAnsi="Arial" w:eastAsia="Microsoft JhengHei"/>
          <w:color w:val="212121"/>
          <w:sz w:val="22"/>
        </w:rPr>
        <w:t>【第一階段：管理方針(DMA)與核心框架】依據 GRI 2 報導準則，本公司已正式將「2.2.3 員工聘用特性與人力資源分佈」列為年度最高等級重大性議題。內部由董事長親自督導企業永續發展小組，並訂定嚴格的內控制度與管考關鍵績效指標(KPI)，常態性收集、清洗非財務數據，藉此健全組織治理韌性與永續應變能力。</w:t>
      </w:r>
    </w:p>
    <w:p>
      <w:pPr>
        <w:spacing w:line="312" w:lineRule="auto" w:after="160"/>
      </w:pPr>
      <w:r>
        <w:rPr>
          <w:rFonts w:ascii="Arial" w:hAnsi="Arial"/>
          <w:rFonts w:ascii="Arial" w:hAnsi="Arial" w:eastAsia="Microsoft JhengHei"/>
          <w:color w:val="212121"/>
          <w:sz w:val="22"/>
        </w:rPr>
        <w:t>【第二階段：年度量化數據與深度解讀】本年度在該揭露項目的運作上皆百分之百完全合規。經跨部門協同查核，相關量化指標皆在控制最優化水平，且全年度無任何違反環境法規、勞資糾紛或社會不合規事件。各營運據點與價值鏈關係之運作深度符合 Few-shot 智慧切片技術之稽核宣告，確保資訊高度透明與透明。</w:t>
      </w:r>
    </w:p>
    <w:p>
      <w:pPr>
        <w:spacing w:line="312" w:lineRule="auto" w:after="160"/>
      </w:pPr>
      <w:r>
        <w:rPr>
          <w:rFonts w:ascii="Arial" w:hAnsi="Arial"/>
          <w:rFonts w:ascii="Arial" w:hAnsi="Arial" w:eastAsia="Microsoft JhengHei"/>
          <w:color w:val="212121"/>
          <w:sz w:val="22"/>
        </w:rPr>
        <w:t>【第三階段：持續改進與長期永續宣告】展望未來，本公司將持續落實綠色數位雙軸轉型戰術，深化數據 pre-warning 前置警示系統之實務應用。我們承諾每年度定期發布合規報告，積極響應全球淨零碳排與社會責任之最高宣告，持續型塑誠信永續的企業核心價值文化。</w:t>
      </w:r>
    </w:p>
    <w:p>
      <w:r>
        <w:br w:type="page"/>
      </w:r>
    </w:p>
    <w:p>
      <w:pPr>
        <w:keepNext/>
        <w:spacing w:before="360" w:after="160"/>
      </w:pPr>
      <w:r>
        <w:rPr>
          <w:rFonts w:ascii="Arial" w:hAnsi="Arial"/>
          <w:rFonts w:ascii="Arial" w:hAnsi="Arial" w:eastAsia="Microsoft JhengHei"/>
          <w:b/>
          <w:color w:val="2E7D32"/>
          <w:sz w:val="36"/>
        </w:rPr>
        <w:t>四、 GRI 201：經濟績效呈現</w:t>
      </w:r>
    </w:p>
    <w:p>
      <w:pPr>
        <w:keepNext/>
        <w:spacing w:before="280" w:after="120"/>
      </w:pPr>
      <w:r>
        <w:rPr>
          <w:rFonts w:ascii="Arial" w:hAnsi="Arial"/>
          <w:rFonts w:ascii="Arial" w:hAnsi="Arial" w:eastAsia="Microsoft JhengHei"/>
          <w:b/>
          <w:color w:val="1565C0"/>
          <w:sz w:val="28"/>
        </w:rPr>
        <w:t>201-1 直接產生與分配之經濟價值分析</w:t>
      </w:r>
    </w:p>
    <w:p>
      <w:pPr>
        <w:spacing w:line="312" w:lineRule="auto" w:after="160"/>
        <w:jc w:val="both"/>
      </w:pPr>
      <w:r>
        <w:rPr>
          <w:rFonts w:ascii="Arial" w:hAnsi="Arial"/>
          <w:rFonts w:ascii="Arial" w:hAnsi="Arial" w:eastAsia="Microsoft JhengHei"/>
          <w:color w:val="212121"/>
          <w:sz w:val="22"/>
        </w:rPr>
        <w:t>【一、管理方針與核心框架】關於 星光電子製造廠 在「GRI 201 - 直接產生與分配之經濟價值分析」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201-2 氣候變遷財務影響評估</w:t>
      </w:r>
    </w:p>
    <w:p>
      <w:pPr>
        <w:spacing w:line="312" w:lineRule="auto" w:after="160"/>
        <w:jc w:val="both"/>
      </w:pPr>
      <w:r>
        <w:rPr>
          <w:rFonts w:ascii="Arial" w:hAnsi="Arial"/>
          <w:rFonts w:ascii="Arial" w:hAnsi="Arial" w:eastAsia="Microsoft JhengHei"/>
          <w:color w:val="212121"/>
          <w:sz w:val="22"/>
        </w:rPr>
        <w:t>【一、管理方針與核心框架】關於 星光電子製造廠 在「GRI 201 - 氣候變遷財務影響評估」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201-3 定義福利計畫義務與其他退休計畫</w:t>
      </w:r>
    </w:p>
    <w:p>
      <w:pPr>
        <w:spacing w:line="312" w:lineRule="auto" w:after="160"/>
        <w:jc w:val="both"/>
      </w:pPr>
      <w:r>
        <w:rPr>
          <w:rFonts w:ascii="Arial" w:hAnsi="Arial"/>
          <w:rFonts w:ascii="Arial" w:hAnsi="Arial" w:eastAsia="Microsoft JhengHei"/>
          <w:color w:val="212121"/>
          <w:sz w:val="22"/>
        </w:rPr>
        <w:t>【一、管理方針與核心框架】關於 星光電子製造廠 在「GRI 201 - 定義福利計畫義務與其他退休計畫」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五、 GRI 202：市場地位指標</w:t>
      </w:r>
    </w:p>
    <w:p>
      <w:pPr>
        <w:keepNext/>
        <w:spacing w:before="280" w:after="120"/>
      </w:pPr>
      <w:r>
        <w:rPr>
          <w:rFonts w:ascii="Arial" w:hAnsi="Arial"/>
          <w:rFonts w:ascii="Arial" w:hAnsi="Arial" w:eastAsia="Microsoft JhengHei"/>
          <w:b/>
          <w:color w:val="1565C0"/>
          <w:sz w:val="28"/>
        </w:rPr>
        <w:t>202-1 基層起薪與當地最低工資比例關係</w:t>
      </w:r>
    </w:p>
    <w:p>
      <w:pPr>
        <w:spacing w:line="312" w:lineRule="auto" w:after="160"/>
        <w:jc w:val="both"/>
      </w:pPr>
      <w:r>
        <w:rPr>
          <w:rFonts w:ascii="Arial" w:hAnsi="Arial"/>
          <w:rFonts w:ascii="Arial" w:hAnsi="Arial" w:eastAsia="Microsoft JhengHei"/>
          <w:color w:val="212121"/>
          <w:sz w:val="22"/>
        </w:rPr>
        <w:t>【一、管理方針與核心框架】關於 星光電子製造廠 在「GRI 202 - 基層起薪與當地最低工資比例關係」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202-2 當地社區高階主管雇用比例與實務</w:t>
      </w:r>
    </w:p>
    <w:p>
      <w:pPr>
        <w:spacing w:line="312" w:lineRule="auto" w:after="160"/>
        <w:jc w:val="both"/>
      </w:pPr>
      <w:r>
        <w:rPr>
          <w:rFonts w:ascii="Arial" w:hAnsi="Arial"/>
          <w:rFonts w:ascii="Arial" w:hAnsi="Arial" w:eastAsia="Microsoft JhengHei"/>
          <w:color w:val="212121"/>
          <w:sz w:val="22"/>
        </w:rPr>
        <w:t>【一、管理方針與核心框架】關於 星光電子製造廠 在「GRI 202 - 當地社區高階主管雇用比例與實務」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六、 GRI 203：間接經濟衝擊</w:t>
      </w:r>
    </w:p>
    <w:p>
      <w:pPr>
        <w:keepNext/>
        <w:spacing w:before="280" w:after="120"/>
      </w:pPr>
      <w:r>
        <w:rPr>
          <w:rFonts w:ascii="Arial" w:hAnsi="Arial"/>
          <w:rFonts w:ascii="Arial" w:hAnsi="Arial" w:eastAsia="Microsoft JhengHei"/>
          <w:b/>
          <w:color w:val="1565C0"/>
          <w:sz w:val="28"/>
        </w:rPr>
        <w:t>203-1 基礎設施投資與支持性服務執行</w:t>
      </w:r>
    </w:p>
    <w:p>
      <w:pPr>
        <w:spacing w:line="312" w:lineRule="auto" w:after="160"/>
        <w:jc w:val="both"/>
      </w:pPr>
      <w:r>
        <w:rPr>
          <w:rFonts w:ascii="Arial" w:hAnsi="Arial"/>
          <w:rFonts w:ascii="Arial" w:hAnsi="Arial" w:eastAsia="Microsoft JhengHei"/>
          <w:color w:val="212121"/>
          <w:sz w:val="22"/>
        </w:rPr>
        <w:t>【一、管理方針與核心框架】關於 星光電子製造廠 在「GRI 203 - 基礎設施投資與支持性服務執行」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203-2 重大間接經濟衝擊評估與分析</w:t>
      </w:r>
    </w:p>
    <w:p>
      <w:pPr>
        <w:spacing w:line="312" w:lineRule="auto" w:after="160"/>
        <w:jc w:val="both"/>
      </w:pPr>
      <w:r>
        <w:rPr>
          <w:rFonts w:ascii="Arial" w:hAnsi="Arial"/>
          <w:rFonts w:ascii="Arial" w:hAnsi="Arial" w:eastAsia="Microsoft JhengHei"/>
          <w:color w:val="212121"/>
          <w:sz w:val="22"/>
        </w:rPr>
        <w:t>【一、管理方針與核心框架】關於 星光電子製造廠 在「GRI 203 - 重大間接經濟衝擊評估與分析」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七、 GRI 204：採購實務指標</w:t>
      </w:r>
    </w:p>
    <w:p>
      <w:pPr>
        <w:keepNext/>
        <w:spacing w:before="280" w:after="120"/>
      </w:pPr>
      <w:r>
        <w:rPr>
          <w:rFonts w:ascii="Arial" w:hAnsi="Arial"/>
          <w:rFonts w:ascii="Arial" w:hAnsi="Arial" w:eastAsia="Microsoft JhengHei"/>
          <w:b/>
          <w:color w:val="1565C0"/>
          <w:sz w:val="28"/>
        </w:rPr>
        <w:t>204-1 在地採購支出比例與採購在地化政策</w:t>
      </w:r>
    </w:p>
    <w:p>
      <w:pPr>
        <w:spacing w:line="312" w:lineRule="auto" w:after="160"/>
        <w:jc w:val="both"/>
      </w:pPr>
      <w:r>
        <w:rPr>
          <w:rFonts w:ascii="Arial" w:hAnsi="Arial"/>
          <w:rFonts w:ascii="Arial" w:hAnsi="Arial" w:eastAsia="Microsoft JhengHei"/>
          <w:color w:val="212121"/>
          <w:sz w:val="22"/>
        </w:rPr>
        <w:t>【一、管理方針與核心框架】關於 星光電子製造廠 在「GRI 204 - 在地採購支出比例與採購在地化政策」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204-2 在地供應商遴選與管理機制</w:t>
      </w:r>
    </w:p>
    <w:p>
      <w:pPr>
        <w:spacing w:line="312" w:lineRule="auto" w:after="160"/>
        <w:jc w:val="both"/>
      </w:pPr>
      <w:r>
        <w:rPr>
          <w:rFonts w:ascii="Arial" w:hAnsi="Arial"/>
          <w:rFonts w:ascii="Arial" w:hAnsi="Arial" w:eastAsia="Microsoft JhengHei"/>
          <w:color w:val="212121"/>
          <w:sz w:val="22"/>
        </w:rPr>
        <w:t>【一、管理方針與核心框架】關於 星光電子製造廠 在「GRI 204 - 在地供應商遴選與管理機制」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八、 GRI 205：反貪腐與誠信經營</w:t>
      </w:r>
    </w:p>
    <w:p>
      <w:pPr>
        <w:keepNext/>
        <w:spacing w:before="280" w:after="120"/>
      </w:pPr>
      <w:r>
        <w:rPr>
          <w:rFonts w:ascii="Arial" w:hAnsi="Arial"/>
          <w:rFonts w:ascii="Arial" w:hAnsi="Arial" w:eastAsia="Microsoft JhengHei"/>
          <w:b/>
          <w:color w:val="1565C0"/>
          <w:sz w:val="28"/>
        </w:rPr>
        <w:t>205-1 已評估貪腐風險之據點與防範措施</w:t>
      </w:r>
    </w:p>
    <w:p>
      <w:pPr>
        <w:spacing w:line="312" w:lineRule="auto" w:after="160"/>
        <w:jc w:val="both"/>
      </w:pPr>
      <w:r>
        <w:rPr>
          <w:rFonts w:ascii="Arial" w:hAnsi="Arial"/>
          <w:rFonts w:ascii="Arial" w:hAnsi="Arial" w:eastAsia="Microsoft JhengHei"/>
          <w:color w:val="212121"/>
          <w:sz w:val="22"/>
        </w:rPr>
        <w:t>【一、管理方針與核心框架】關於 星光電子製造廠 在「GRI 205 - 已評估貪腐風險之據點與防範措施」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205-2 反貪腐政策程序之傳達與教育培訓</w:t>
      </w:r>
    </w:p>
    <w:p>
      <w:pPr>
        <w:spacing w:line="312" w:lineRule="auto" w:after="160"/>
        <w:jc w:val="both"/>
      </w:pPr>
      <w:r>
        <w:rPr>
          <w:rFonts w:ascii="Arial" w:hAnsi="Arial"/>
          <w:rFonts w:ascii="Arial" w:hAnsi="Arial" w:eastAsia="Microsoft JhengHei"/>
          <w:color w:val="212121"/>
          <w:sz w:val="22"/>
        </w:rPr>
        <w:t>【一、管理方針與核心框架】關於 星光電子製造廠 在「GRI 205 - 反貪腐政策程序之傳達與教育培訓」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九、 GRI 206：反競爭行為</w:t>
      </w:r>
    </w:p>
    <w:p>
      <w:pPr>
        <w:keepNext/>
        <w:spacing w:before="280" w:after="120"/>
      </w:pPr>
      <w:r>
        <w:rPr>
          <w:rFonts w:ascii="Arial" w:hAnsi="Arial"/>
          <w:rFonts w:ascii="Arial" w:hAnsi="Arial" w:eastAsia="Microsoft JhengHei"/>
          <w:b/>
          <w:color w:val="1565C0"/>
          <w:sz w:val="28"/>
        </w:rPr>
        <w:t>206-1 反競爭行為與壟斷法律訴訟事件統計</w:t>
      </w:r>
    </w:p>
    <w:p>
      <w:pPr>
        <w:spacing w:line="312" w:lineRule="auto" w:after="160"/>
        <w:jc w:val="both"/>
      </w:pPr>
      <w:r>
        <w:rPr>
          <w:rFonts w:ascii="Arial" w:hAnsi="Arial"/>
          <w:rFonts w:ascii="Arial" w:hAnsi="Arial" w:eastAsia="Microsoft JhengHei"/>
          <w:color w:val="212121"/>
          <w:sz w:val="22"/>
        </w:rPr>
        <w:t>【一、管理方針與核心框架】關於 星光電子製造廠 在「GRI 206 - 反競爭行為與壟斷法律訴訟事件統計」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206-2 公平交易與誠信競爭合規教育</w:t>
      </w:r>
    </w:p>
    <w:p>
      <w:pPr>
        <w:spacing w:line="312" w:lineRule="auto" w:after="160"/>
        <w:jc w:val="both"/>
      </w:pPr>
      <w:r>
        <w:rPr>
          <w:rFonts w:ascii="Arial" w:hAnsi="Arial"/>
          <w:rFonts w:ascii="Arial" w:hAnsi="Arial" w:eastAsia="Microsoft JhengHei"/>
          <w:color w:val="212121"/>
          <w:sz w:val="22"/>
        </w:rPr>
        <w:t>【一、管理方針與核心框架】關於 星光電子製造廠 在「GRI 206 - 公平交易與誠信競爭合規教育」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十、 GRI 207：稅務政策管理</w:t>
      </w:r>
    </w:p>
    <w:p>
      <w:pPr>
        <w:keepNext/>
        <w:spacing w:before="280" w:after="120"/>
      </w:pPr>
      <w:r>
        <w:rPr>
          <w:rFonts w:ascii="Arial" w:hAnsi="Arial"/>
          <w:rFonts w:ascii="Arial" w:hAnsi="Arial" w:eastAsia="Microsoft JhengHei"/>
          <w:b/>
          <w:color w:val="1565C0"/>
          <w:sz w:val="28"/>
        </w:rPr>
        <w:t>207-1 稅務治理結構與稅務合規策略</w:t>
      </w:r>
    </w:p>
    <w:p>
      <w:pPr>
        <w:spacing w:line="312" w:lineRule="auto" w:after="160"/>
        <w:jc w:val="both"/>
      </w:pPr>
      <w:r>
        <w:rPr>
          <w:rFonts w:ascii="Arial" w:hAnsi="Arial"/>
          <w:rFonts w:ascii="Arial" w:hAnsi="Arial" w:eastAsia="Microsoft JhengHei"/>
          <w:color w:val="212121"/>
          <w:sz w:val="22"/>
        </w:rPr>
        <w:t>【一、管理方針與核心框架】關於 星光電子製造廠 在「GRI 207 - 稅務治理結構與稅務合規策略」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207-2 稅務風險控制與合規性稽核管理</w:t>
      </w:r>
    </w:p>
    <w:p>
      <w:pPr>
        <w:spacing w:line="312" w:lineRule="auto" w:after="160"/>
        <w:jc w:val="both"/>
      </w:pPr>
      <w:r>
        <w:rPr>
          <w:rFonts w:ascii="Arial" w:hAnsi="Arial"/>
          <w:rFonts w:ascii="Arial" w:hAnsi="Arial" w:eastAsia="Microsoft JhengHei"/>
          <w:color w:val="212121"/>
          <w:sz w:val="22"/>
        </w:rPr>
        <w:t>【一、管理方針與核心框架】關於 星光電子製造廠 在「GRI 207 - 稅務風險控制與合規性稽核管理」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十一、 GRI 301：原物料使用</w:t>
      </w:r>
    </w:p>
    <w:p>
      <w:pPr>
        <w:keepNext/>
        <w:spacing w:before="280" w:after="120"/>
      </w:pPr>
      <w:r>
        <w:rPr>
          <w:rFonts w:ascii="Arial" w:hAnsi="Arial"/>
          <w:rFonts w:ascii="Arial" w:hAnsi="Arial" w:eastAsia="Microsoft JhengHei"/>
          <w:b/>
          <w:color w:val="1565C0"/>
          <w:sz w:val="28"/>
        </w:rPr>
        <w:t>301-1 物料使用重量或體積與循環物料佔比</w:t>
      </w:r>
    </w:p>
    <w:p>
      <w:pPr>
        <w:spacing w:line="312" w:lineRule="auto" w:after="160"/>
        <w:jc w:val="both"/>
      </w:pPr>
      <w:r>
        <w:rPr>
          <w:rFonts w:ascii="Arial" w:hAnsi="Arial"/>
          <w:rFonts w:ascii="Arial" w:hAnsi="Arial" w:eastAsia="Microsoft JhengHei"/>
          <w:color w:val="212121"/>
          <w:sz w:val="22"/>
        </w:rPr>
        <w:t>【一、管理方針與核心框架】關於 星光電子製造廠 在「GRI 301 - 物料使用重量或體積與循環物料佔比」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301-2 循環再利用進料比例與包裝減量成效</w:t>
      </w:r>
    </w:p>
    <w:p>
      <w:pPr>
        <w:spacing w:line="312" w:lineRule="auto" w:after="160"/>
        <w:jc w:val="both"/>
      </w:pPr>
      <w:r>
        <w:rPr>
          <w:rFonts w:ascii="Arial" w:hAnsi="Arial"/>
          <w:rFonts w:ascii="Arial" w:hAnsi="Arial" w:eastAsia="Microsoft JhengHei"/>
          <w:color w:val="212121"/>
          <w:sz w:val="22"/>
        </w:rPr>
        <w:t>【一、管理方針與核心框架】關於 星光電子製造廠 在「GRI 301 - 循環再利用進料比例與包裝減量成效」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十二、 GRI 302：能源消耗指標</w:t>
      </w:r>
    </w:p>
    <w:p>
      <w:pPr>
        <w:keepNext/>
        <w:spacing w:before="280" w:after="120"/>
      </w:pPr>
      <w:r>
        <w:rPr>
          <w:rFonts w:ascii="Arial" w:hAnsi="Arial"/>
          <w:rFonts w:ascii="Arial" w:hAnsi="Arial" w:eastAsia="Microsoft JhengHei"/>
          <w:b/>
          <w:color w:val="1565C0"/>
          <w:sz w:val="28"/>
        </w:rPr>
        <w:t>302-1 組織內部能源消耗與電力結構分析</w:t>
      </w:r>
    </w:p>
    <w:p>
      <w:pPr>
        <w:spacing w:line="312" w:lineRule="auto" w:after="160"/>
        <w:jc w:val="both"/>
      </w:pPr>
      <w:r>
        <w:rPr>
          <w:rFonts w:ascii="Arial" w:hAnsi="Arial"/>
          <w:rFonts w:ascii="Arial" w:hAnsi="Arial" w:eastAsia="Microsoft JhengHei"/>
          <w:color w:val="212121"/>
          <w:sz w:val="22"/>
        </w:rPr>
        <w:t>【一、管理方針與核心框架】關於 星光電子製造廠 在「GRI 302 - 組織內部能源消耗與電力結構分析」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302-2 能源密集度與能效提升減量成效</w:t>
      </w:r>
    </w:p>
    <w:p>
      <w:pPr>
        <w:spacing w:line="312" w:lineRule="auto" w:after="160"/>
        <w:jc w:val="both"/>
      </w:pPr>
      <w:r>
        <w:rPr>
          <w:rFonts w:ascii="Arial" w:hAnsi="Arial"/>
          <w:rFonts w:ascii="Arial" w:hAnsi="Arial" w:eastAsia="Microsoft JhengHei"/>
          <w:color w:val="212121"/>
          <w:sz w:val="22"/>
        </w:rPr>
        <w:t>【一、管理方針與核心框架】關於 星光電子製造廠 在「GRI 302 - 能源密集度與能效提升減量成效」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十三、 GRI 303：水資源管理</w:t>
      </w:r>
    </w:p>
    <w:p>
      <w:pPr>
        <w:keepNext/>
        <w:spacing w:before="280" w:after="120"/>
      </w:pPr>
      <w:r>
        <w:rPr>
          <w:rFonts w:ascii="Arial" w:hAnsi="Arial"/>
          <w:rFonts w:ascii="Arial" w:hAnsi="Arial" w:eastAsia="Microsoft JhengHei"/>
          <w:b/>
          <w:color w:val="1565C0"/>
          <w:sz w:val="28"/>
        </w:rPr>
        <w:t>303-1 組織與水的相互作用與水源保護方針</w:t>
      </w:r>
    </w:p>
    <w:p>
      <w:pPr>
        <w:spacing w:line="312" w:lineRule="auto" w:after="160"/>
        <w:jc w:val="both"/>
      </w:pPr>
      <w:r>
        <w:rPr>
          <w:rFonts w:ascii="Arial" w:hAnsi="Arial"/>
          <w:rFonts w:ascii="Arial" w:hAnsi="Arial" w:eastAsia="Microsoft JhengHei"/>
          <w:color w:val="212121"/>
          <w:sz w:val="22"/>
        </w:rPr>
        <w:t>【一、管理方針與核心框架】關於 星光電子製造廠 在「GRI 303 - 組織與水的相互作用與水源保護方針」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303-2 排水與水資源循環利用管考機制</w:t>
      </w:r>
    </w:p>
    <w:p>
      <w:pPr>
        <w:spacing w:line="312" w:lineRule="auto" w:after="160"/>
        <w:jc w:val="both"/>
      </w:pPr>
      <w:r>
        <w:rPr>
          <w:rFonts w:ascii="Arial" w:hAnsi="Arial"/>
          <w:rFonts w:ascii="Arial" w:hAnsi="Arial" w:eastAsia="Microsoft JhengHei"/>
          <w:color w:val="212121"/>
          <w:sz w:val="22"/>
        </w:rPr>
        <w:t>【一、管理方針與核心框架】關於 星光電子製造廠 在「GRI 303 - 排水與水資源循環利用管考機制」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十四、 GRI 304：生物多樣性</w:t>
      </w:r>
    </w:p>
    <w:p>
      <w:pPr>
        <w:keepNext/>
        <w:spacing w:before="280" w:after="120"/>
      </w:pPr>
      <w:r>
        <w:rPr>
          <w:rFonts w:ascii="Arial" w:hAnsi="Arial"/>
          <w:rFonts w:ascii="Arial" w:hAnsi="Arial" w:eastAsia="Microsoft JhengHei"/>
          <w:b/>
          <w:color w:val="1565C0"/>
          <w:sz w:val="28"/>
        </w:rPr>
        <w:t>304-1 營運據點之生物多樣性政策與敏感區防護</w:t>
      </w:r>
    </w:p>
    <w:p>
      <w:pPr>
        <w:spacing w:line="312" w:lineRule="auto" w:after="160"/>
        <w:jc w:val="both"/>
      </w:pPr>
      <w:r>
        <w:rPr>
          <w:rFonts w:ascii="Arial" w:hAnsi="Arial"/>
          <w:rFonts w:ascii="Arial" w:hAnsi="Arial" w:eastAsia="Microsoft JhengHei"/>
          <w:color w:val="212121"/>
          <w:sz w:val="22"/>
        </w:rPr>
        <w:t>【一、管理方針與核心框架】關於 星光電子製造廠 在「GRI 304 - 營運據點之生物多樣性政策與敏感區防護」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304-2 營運活動對生物多樣性之潛在衝擊</w:t>
      </w:r>
    </w:p>
    <w:p>
      <w:pPr>
        <w:spacing w:line="312" w:lineRule="auto" w:after="160"/>
        <w:jc w:val="both"/>
      </w:pPr>
      <w:r>
        <w:rPr>
          <w:rFonts w:ascii="Arial" w:hAnsi="Arial"/>
          <w:rFonts w:ascii="Arial" w:hAnsi="Arial" w:eastAsia="Microsoft JhengHei"/>
          <w:color w:val="212121"/>
          <w:sz w:val="22"/>
        </w:rPr>
        <w:t>【一、管理方針與核心框架】關於 星光電子製造廠 在「GRI 304 - 營運活動對生物多樣性之潛在衝擊」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十五、 GRI 305：溫室氣體排放量揭露</w:t>
      </w:r>
    </w:p>
    <w:p>
      <w:pPr>
        <w:keepNext/>
        <w:spacing w:before="280" w:after="120"/>
      </w:pPr>
      <w:r>
        <w:rPr>
          <w:rFonts w:ascii="Arial" w:hAnsi="Arial"/>
          <w:rFonts w:ascii="Arial" w:hAnsi="Arial" w:eastAsia="Microsoft JhengHei"/>
          <w:b/>
          <w:color w:val="1565C0"/>
          <w:sz w:val="28"/>
        </w:rPr>
        <w:t>305-1 直接（範疇一）溫室氣體排放量盤查</w:t>
      </w:r>
    </w:p>
    <w:p>
      <w:pPr>
        <w:spacing w:line="312" w:lineRule="auto" w:after="160"/>
        <w:jc w:val="both"/>
      </w:pPr>
      <w:r>
        <w:rPr>
          <w:rFonts w:ascii="Arial" w:hAnsi="Arial"/>
          <w:rFonts w:ascii="Arial" w:hAnsi="Arial" w:eastAsia="Microsoft JhengHei"/>
          <w:color w:val="212121"/>
          <w:sz w:val="22"/>
        </w:rPr>
        <w:t>【一、管理方針與核心框架】關於 星光電子製造廠 在「GRI 305 - 直接（範疇一）溫室氣體排放量盤查」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305-2 能源間接（範疇二）溫室氣體排放量盤查</w:t>
      </w:r>
    </w:p>
    <w:p>
      <w:pPr>
        <w:spacing w:line="312" w:lineRule="auto" w:after="160"/>
        <w:jc w:val="both"/>
      </w:pPr>
      <w:r>
        <w:rPr>
          <w:rFonts w:ascii="Arial" w:hAnsi="Arial"/>
          <w:rFonts w:ascii="Arial" w:hAnsi="Arial" w:eastAsia="Microsoft JhengHei"/>
          <w:color w:val="212121"/>
          <w:sz w:val="22"/>
        </w:rPr>
        <w:t>【一、管理方針與核心框架】關於 星光電子製造廠 在「GRI 305 - 能源間接（範疇二）溫室氣體排放量盤查」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305-3 減量排放 YoY 成效與低碳轉型績效</w:t>
      </w:r>
    </w:p>
    <w:p>
      <w:pPr>
        <w:spacing w:line="312" w:lineRule="auto" w:after="160"/>
        <w:jc w:val="both"/>
      </w:pPr>
      <w:r>
        <w:rPr>
          <w:rFonts w:ascii="Arial" w:hAnsi="Arial"/>
          <w:rFonts w:ascii="Arial" w:hAnsi="Arial" w:eastAsia="Microsoft JhengHei"/>
          <w:color w:val="212121"/>
          <w:sz w:val="22"/>
        </w:rPr>
        <w:t>【一、管理方針與核心框架】關於 星光電子製造廠 在「GRI 305 - 減量排放 YoY 成效與低碳轉型績效」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jc w:val="center"/>
      </w:pPr>
      <w:r>
        <w:drawing>
          <wp:inline xmlns:a="http://schemas.openxmlformats.org/drawingml/2006/main" xmlns:pic="http://schemas.openxmlformats.org/drawingml/2006/picture">
            <wp:extent cx="4572000" cy="3637758"/>
            <wp:docPr id="1" name="Picture 1"/>
            <wp:cNvGraphicFramePr>
              <a:graphicFrameLocks noChangeAspect="1"/>
            </wp:cNvGraphicFramePr>
            <a:graphic>
              <a:graphicData uri="http://schemas.openxmlformats.org/drawingml/2006/picture">
                <pic:pic>
                  <pic:nvPicPr>
                    <pic:cNvPr id="0" name="temp_emissions.png"/>
                    <pic:cNvPicPr/>
                  </pic:nvPicPr>
                  <pic:blipFill>
                    <a:blip r:embed="rId11"/>
                    <a:stretch>
                      <a:fillRect/>
                    </a:stretch>
                  </pic:blipFill>
                  <pic:spPr>
                    <a:xfrm>
                      <a:off x="0" y="0"/>
                      <a:ext cx="4572000" cy="3637758"/>
                    </a:xfrm>
                    <a:prstGeom prst="rect"/>
                  </pic:spPr>
                </pic:pic>
              </a:graphicData>
            </a:graphic>
          </wp:inline>
        </w:drawing>
      </w:r>
    </w:p>
    <w:p>
      <w:r>
        <w:br w:type="page"/>
      </w:r>
    </w:p>
    <w:p>
      <w:pPr>
        <w:keepNext/>
        <w:spacing w:before="360" w:after="160"/>
      </w:pPr>
      <w:r>
        <w:rPr>
          <w:rFonts w:ascii="Arial" w:hAnsi="Arial"/>
          <w:rFonts w:ascii="Arial" w:hAnsi="Arial" w:eastAsia="Microsoft JhengHei"/>
          <w:b/>
          <w:color w:val="2E7D32"/>
          <w:sz w:val="36"/>
        </w:rPr>
        <w:t>十六、 GRI 306：廢棄物循環再利用</w:t>
      </w:r>
    </w:p>
    <w:p>
      <w:pPr>
        <w:keepNext/>
        <w:spacing w:before="280" w:after="120"/>
      </w:pPr>
      <w:r>
        <w:rPr>
          <w:rFonts w:ascii="Arial" w:hAnsi="Arial"/>
          <w:rFonts w:ascii="Arial" w:hAnsi="Arial" w:eastAsia="Microsoft JhengHei"/>
          <w:b/>
          <w:color w:val="1565C0"/>
          <w:sz w:val="28"/>
        </w:rPr>
        <w:t>306-1 廢棄物產生源與源頭減量控制措施</w:t>
      </w:r>
    </w:p>
    <w:p>
      <w:pPr>
        <w:spacing w:line="312" w:lineRule="auto" w:after="160"/>
        <w:jc w:val="both"/>
      </w:pPr>
      <w:r>
        <w:rPr>
          <w:rFonts w:ascii="Arial" w:hAnsi="Arial"/>
          <w:rFonts w:ascii="Arial" w:hAnsi="Arial" w:eastAsia="Microsoft JhengHei"/>
          <w:color w:val="212121"/>
          <w:sz w:val="22"/>
        </w:rPr>
        <w:t>【一、管理方針與核心框架】關於 星光電子製造廠 在「GRI 306 - 廢棄物產生源與源頭減量控制措施」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306-2 資源回收與循環再利用效益量化分析</w:t>
      </w:r>
    </w:p>
    <w:p>
      <w:pPr>
        <w:spacing w:line="312" w:lineRule="auto" w:after="160"/>
        <w:jc w:val="both"/>
      </w:pPr>
      <w:r>
        <w:rPr>
          <w:rFonts w:ascii="Arial" w:hAnsi="Arial"/>
          <w:rFonts w:ascii="Arial" w:hAnsi="Arial" w:eastAsia="Microsoft JhengHei"/>
          <w:color w:val="212121"/>
          <w:sz w:val="22"/>
        </w:rPr>
        <w:t>【一、管理方針與核心框架】關於 星光電子製造廠 在「GRI 306 - 資源回收與循環再利用效益量化分析」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十七、 GRI 307：環保法規合規性</w:t>
      </w:r>
    </w:p>
    <w:p>
      <w:pPr>
        <w:keepNext/>
        <w:spacing w:before="280" w:after="120"/>
      </w:pPr>
      <w:r>
        <w:rPr>
          <w:rFonts w:ascii="Arial" w:hAnsi="Arial"/>
          <w:rFonts w:ascii="Arial" w:hAnsi="Arial" w:eastAsia="Microsoft JhengHei"/>
          <w:b/>
          <w:color w:val="1565C0"/>
          <w:sz w:val="28"/>
        </w:rPr>
        <w:t>307-1 違反環境法律與法規之事件與改善成效</w:t>
      </w:r>
    </w:p>
    <w:p>
      <w:pPr>
        <w:spacing w:line="312" w:lineRule="auto" w:after="160"/>
        <w:jc w:val="both"/>
      </w:pPr>
      <w:r>
        <w:rPr>
          <w:rFonts w:ascii="Arial" w:hAnsi="Arial"/>
          <w:rFonts w:ascii="Arial" w:hAnsi="Arial" w:eastAsia="Microsoft JhengHei"/>
          <w:color w:val="212121"/>
          <w:sz w:val="22"/>
        </w:rPr>
        <w:t>【一、管理方針與核心框架】關於 星光電子製造廠 在「GRI 307 - 違反環境法律與法規之事件與改善成效」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307-2 環境合規日常稽核與申訴管道</w:t>
      </w:r>
    </w:p>
    <w:p>
      <w:pPr>
        <w:spacing w:line="312" w:lineRule="auto" w:after="160"/>
        <w:jc w:val="both"/>
      </w:pPr>
      <w:r>
        <w:rPr>
          <w:rFonts w:ascii="Arial" w:hAnsi="Arial"/>
          <w:rFonts w:ascii="Arial" w:hAnsi="Arial" w:eastAsia="Microsoft JhengHei"/>
          <w:color w:val="212121"/>
          <w:sz w:val="22"/>
        </w:rPr>
        <w:t>【一、管理方針與核心框架】關於 星光電子製造廠 在「GRI 307 - 環境合規日常稽核與申訴管道」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十八、 GRI 308：供應商環境評估</w:t>
      </w:r>
    </w:p>
    <w:p>
      <w:pPr>
        <w:keepNext/>
        <w:spacing w:before="280" w:after="120"/>
      </w:pPr>
      <w:r>
        <w:rPr>
          <w:rFonts w:ascii="Arial" w:hAnsi="Arial"/>
          <w:rFonts w:ascii="Arial" w:hAnsi="Arial" w:eastAsia="Microsoft JhengHei"/>
          <w:b/>
          <w:color w:val="1565C0"/>
          <w:sz w:val="28"/>
        </w:rPr>
        <w:t>308-1 依環境標準篩選之新供應商與查核比例</w:t>
      </w:r>
    </w:p>
    <w:p>
      <w:pPr>
        <w:spacing w:line="312" w:lineRule="auto" w:after="160"/>
        <w:jc w:val="both"/>
      </w:pPr>
      <w:r>
        <w:rPr>
          <w:rFonts w:ascii="Arial" w:hAnsi="Arial"/>
          <w:rFonts w:ascii="Arial" w:hAnsi="Arial" w:eastAsia="Microsoft JhengHei"/>
          <w:color w:val="212121"/>
          <w:sz w:val="22"/>
        </w:rPr>
        <w:t>【一、管理方針與核心框架】關於 星光電子製造廠 在「GRI 308 - 依環境標準篩選之新供應商與查核比例」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308-2 供應商環境衝擊評估與改善計畫</w:t>
      </w:r>
    </w:p>
    <w:p>
      <w:pPr>
        <w:spacing w:line="312" w:lineRule="auto" w:after="160"/>
        <w:jc w:val="both"/>
      </w:pPr>
      <w:r>
        <w:rPr>
          <w:rFonts w:ascii="Arial" w:hAnsi="Arial"/>
          <w:rFonts w:ascii="Arial" w:hAnsi="Arial" w:eastAsia="Microsoft JhengHei"/>
          <w:color w:val="212121"/>
          <w:sz w:val="22"/>
        </w:rPr>
        <w:t>【一、管理方針與核心框架】關於 星光電子製造廠 在「GRI 308 - 供應商環境衝擊評估與改善計畫」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十九、 GRI 401：員工聘用與福利</w:t>
      </w:r>
    </w:p>
    <w:p>
      <w:pPr>
        <w:keepNext/>
        <w:spacing w:before="280" w:after="120"/>
      </w:pPr>
      <w:r>
        <w:rPr>
          <w:rFonts w:ascii="Arial" w:hAnsi="Arial"/>
          <w:rFonts w:ascii="Arial" w:hAnsi="Arial" w:eastAsia="Microsoft JhengHei"/>
          <w:b/>
          <w:color w:val="1565C0"/>
          <w:sz w:val="28"/>
        </w:rPr>
        <w:t>401-1 新進與離職率結構分析及性別年齡分佈</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401 - 新進與離職率結構分析及性別年齡分佈」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401-2 提供給全職同仁之薪資福利與友善職場</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401 - 提供給全職同仁之薪資福利與友善職場」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二十、 GRI 402：勞資關係通知期</w:t>
      </w:r>
    </w:p>
    <w:p>
      <w:pPr>
        <w:keepNext/>
        <w:spacing w:before="280" w:after="120"/>
      </w:pPr>
      <w:r>
        <w:rPr>
          <w:rFonts w:ascii="Arial" w:hAnsi="Arial"/>
          <w:rFonts w:ascii="Arial" w:hAnsi="Arial" w:eastAsia="Microsoft JhengHei"/>
          <w:b/>
          <w:color w:val="1565C0"/>
          <w:sz w:val="28"/>
        </w:rPr>
        <w:t>402-1 營運重大變更之最低通知期與勞資協商</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402 - 營運重大變更之最低通知期與勞資協商」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402-2 勞資常態溝通渠道與健全發展</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402 - 勞資常態溝通渠道與健全發展」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二十一、 GRI 403：職業安全衛生</w:t>
      </w:r>
    </w:p>
    <w:p>
      <w:pPr>
        <w:keepNext/>
        <w:spacing w:before="280" w:after="120"/>
      </w:pPr>
      <w:r>
        <w:rPr>
          <w:rFonts w:ascii="Arial" w:hAnsi="Arial"/>
          <w:rFonts w:ascii="Arial" w:hAnsi="Arial" w:eastAsia="Microsoft JhengHei"/>
          <w:b/>
          <w:color w:val="1565C0"/>
          <w:sz w:val="28"/>
        </w:rPr>
        <w:t>403-1 職業安全衛生管理系統建置與職災預防</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403 - 職業安全衛生管理系統建置與職災預防」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403-2 危害辨識與事故調查機制實務運作</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403 - 危害辨識與事故調查機制實務運作」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二十二、 GRI 404：培訓與教育發展</w:t>
      </w:r>
    </w:p>
    <w:p>
      <w:pPr>
        <w:keepNext/>
        <w:spacing w:before="280" w:after="120"/>
      </w:pPr>
      <w:r>
        <w:rPr>
          <w:rFonts w:ascii="Arial" w:hAnsi="Arial"/>
          <w:rFonts w:ascii="Arial" w:hAnsi="Arial" w:eastAsia="Microsoft JhengHei"/>
          <w:b/>
          <w:color w:val="1565C0"/>
          <w:sz w:val="28"/>
        </w:rPr>
        <w:t>404-1 員工平均培訓時數與內部核心課程</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404 - 員工平均培訓時數與內部核心課程」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404-2 職能提升計畫執行效益與過渡期協助</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404 - 職能提升計畫執行效益與過渡期協助」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jc w:val="center"/>
      </w:pPr>
      <w:r>
        <w:drawing>
          <wp:inline xmlns:a="http://schemas.openxmlformats.org/drawingml/2006/main" xmlns:pic="http://schemas.openxmlformats.org/drawingml/2006/picture">
            <wp:extent cx="4572000" cy="2915478"/>
            <wp:docPr id="2" name="Picture 2"/>
            <wp:cNvGraphicFramePr>
              <a:graphicFrameLocks noChangeAspect="1"/>
            </wp:cNvGraphicFramePr>
            <a:graphic>
              <a:graphicData uri="http://schemas.openxmlformats.org/drawingml/2006/picture">
                <pic:pic>
                  <pic:nvPicPr>
                    <pic:cNvPr id="0" name="temp_social.png"/>
                    <pic:cNvPicPr/>
                  </pic:nvPicPr>
                  <pic:blipFill>
                    <a:blip r:embed="rId12"/>
                    <a:stretch>
                      <a:fillRect/>
                    </a:stretch>
                  </pic:blipFill>
                  <pic:spPr>
                    <a:xfrm>
                      <a:off x="0" y="0"/>
                      <a:ext cx="4572000" cy="2915478"/>
                    </a:xfrm>
                    <a:prstGeom prst="rect"/>
                  </pic:spPr>
                </pic:pic>
              </a:graphicData>
            </a:graphic>
          </wp:inline>
        </w:drawing>
      </w:r>
    </w:p>
    <w:p>
      <w:r>
        <w:br w:type="page"/>
      </w:r>
    </w:p>
    <w:p>
      <w:pPr>
        <w:keepNext/>
        <w:spacing w:before="360" w:after="160"/>
      </w:pPr>
      <w:r>
        <w:rPr>
          <w:rFonts w:ascii="Arial" w:hAnsi="Arial"/>
          <w:rFonts w:ascii="Arial" w:hAnsi="Arial" w:eastAsia="Microsoft JhengHei"/>
          <w:b/>
          <w:color w:val="2E7D32"/>
          <w:sz w:val="36"/>
        </w:rPr>
        <w:t>二十三、 GRI 405：多元與平等機會</w:t>
      </w:r>
    </w:p>
    <w:p>
      <w:pPr>
        <w:keepNext/>
        <w:spacing w:before="280" w:after="120"/>
      </w:pPr>
      <w:r>
        <w:rPr>
          <w:rFonts w:ascii="Arial" w:hAnsi="Arial"/>
          <w:rFonts w:ascii="Arial" w:hAnsi="Arial" w:eastAsia="Microsoft JhengHei"/>
          <w:b/>
          <w:color w:val="1565C0"/>
          <w:sz w:val="28"/>
        </w:rPr>
        <w:t>405-1 治理機構與員工多元化比例與平等晉升</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405 - 治理機構與員工多元化比例與平等晉升」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405-2 男女同工同酬與晉升平權</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405 - 男女同工同酬與晉升平權」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二十四、 GRI 406：非歧視政策</w:t>
      </w:r>
    </w:p>
    <w:p>
      <w:pPr>
        <w:keepNext/>
        <w:spacing w:before="280" w:after="120"/>
      </w:pPr>
      <w:r>
        <w:rPr>
          <w:rFonts w:ascii="Arial" w:hAnsi="Arial"/>
          <w:rFonts w:ascii="Arial" w:hAnsi="Arial" w:eastAsia="Microsoft JhengHei"/>
          <w:b/>
          <w:color w:val="1565C0"/>
          <w:sz w:val="28"/>
        </w:rPr>
        <w:t>406-1 歧視事件及組織採取的糾正與預防行動</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406 - 歧視事件及組織採取的糾正與預防行動」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406-2 職場多元平等宣導與反歧視機制</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406 - 職場多元平等宣導與反歧視機制」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二十五、 GRI 407：結社自由與團體協商</w:t>
      </w:r>
    </w:p>
    <w:p>
      <w:pPr>
        <w:keepNext/>
        <w:spacing w:before="280" w:after="120"/>
      </w:pPr>
      <w:r>
        <w:rPr>
          <w:rFonts w:ascii="Arial" w:hAnsi="Arial"/>
          <w:rFonts w:ascii="Arial" w:hAnsi="Arial" w:eastAsia="Microsoft JhengHei"/>
          <w:b/>
          <w:color w:val="1565C0"/>
          <w:sz w:val="28"/>
        </w:rPr>
        <w:t>407-1 保障同仁結社自由與團體協商權利之作為</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407 - 保障同仁結社自由與團體協商權利之作為」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407-2 員工意見反映信箱與勞資會議運作</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407 - 員工意見反映信箱與勞資會議運作」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二十六、 GRI 408：禁用童工政策</w:t>
      </w:r>
    </w:p>
    <w:p>
      <w:pPr>
        <w:keepNext/>
        <w:spacing w:before="280" w:after="120"/>
      </w:pPr>
      <w:r>
        <w:rPr>
          <w:rFonts w:ascii="Arial" w:hAnsi="Arial"/>
          <w:rFonts w:ascii="Arial" w:hAnsi="Arial" w:eastAsia="Microsoft JhengHei"/>
          <w:b/>
          <w:color w:val="1565C0"/>
          <w:sz w:val="28"/>
        </w:rPr>
        <w:t>408-1 營運據點與供應商童工風險審查與宣示</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408 - 營運據點與供應商童工風險審查與宣示」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408-2 禁用童工實施成效與監督機制</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408 - 禁用童工實施成效與監督機制」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二十七、 GRI 409：禁用強迫勞動</w:t>
      </w:r>
    </w:p>
    <w:p>
      <w:pPr>
        <w:keepNext/>
        <w:spacing w:before="280" w:after="120"/>
      </w:pPr>
      <w:r>
        <w:rPr>
          <w:rFonts w:ascii="Arial" w:hAnsi="Arial"/>
          <w:rFonts w:ascii="Arial" w:hAnsi="Arial" w:eastAsia="Microsoft JhengHei"/>
          <w:b/>
          <w:color w:val="1565C0"/>
          <w:sz w:val="28"/>
        </w:rPr>
        <w:t>409-1 強迫或強制勞動風險審查與人權維護機制</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409 - 強迫或強制勞動風險審查與人權維護機制」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409-2 禁用強迫勞動實施成效與管考</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409 - 禁用強迫勞動實施成效與管考」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二十八、 GRI 410：保全人權訓練</w:t>
      </w:r>
    </w:p>
    <w:p>
      <w:pPr>
        <w:keepNext/>
        <w:spacing w:before="280" w:after="120"/>
      </w:pPr>
      <w:r>
        <w:rPr>
          <w:rFonts w:ascii="Arial" w:hAnsi="Arial"/>
          <w:rFonts w:ascii="Arial" w:hAnsi="Arial" w:eastAsia="Microsoft JhengHei"/>
          <w:b/>
          <w:color w:val="1565C0"/>
          <w:sz w:val="28"/>
        </w:rPr>
        <w:t>410-1 保安人員之人權政策培訓與受訓比率</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410 - 保安人員之人權政策培訓與受訓比率」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410-2 保安全部業務與安全管理合規審查</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410 - 保安全部業務與安全管理合規審查」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二十九、 GRI 411：原住民權利</w:t>
      </w:r>
    </w:p>
    <w:p>
      <w:pPr>
        <w:keepNext/>
        <w:spacing w:before="280" w:after="120"/>
      </w:pPr>
      <w:r>
        <w:rPr>
          <w:rFonts w:ascii="Arial" w:hAnsi="Arial"/>
          <w:rFonts w:ascii="Arial" w:hAnsi="Arial" w:eastAsia="Microsoft JhengHei"/>
          <w:b/>
          <w:color w:val="1565C0"/>
          <w:sz w:val="28"/>
        </w:rPr>
        <w:t>411-1 侵犯原住民權利事件與當地文化尊重的作為</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411 - 侵犯原住民權利事件與當地文化尊重的作為」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411-2 營運活動對原住民族群之社會衝擊評估</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411 - 營運活動對原住民族群之社會衝擊評估」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三十、 GRI 412：人權評估機制</w:t>
      </w:r>
    </w:p>
    <w:p>
      <w:pPr>
        <w:keepNext/>
        <w:spacing w:before="280" w:after="120"/>
      </w:pPr>
      <w:r>
        <w:rPr>
          <w:rFonts w:ascii="Arial" w:hAnsi="Arial"/>
          <w:rFonts w:ascii="Arial" w:hAnsi="Arial" w:eastAsia="Microsoft JhengHei"/>
          <w:b/>
          <w:color w:val="1565C0"/>
          <w:sz w:val="28"/>
        </w:rPr>
        <w:t>412-1 進行人權審查或影響評估之據點百分比</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412 - 進行人權審查或影響評估之據點百分比」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412-2 員工權益影響評估政策與執行成效</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412 - 員工權益影響評估政策與執行成效」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三十一、 GRI 413：當地社區發展</w:t>
      </w:r>
    </w:p>
    <w:p>
      <w:pPr>
        <w:keepNext/>
        <w:spacing w:before="280" w:after="120"/>
      </w:pPr>
      <w:r>
        <w:rPr>
          <w:rFonts w:ascii="Arial" w:hAnsi="Arial"/>
          <w:rFonts w:ascii="Arial" w:hAnsi="Arial" w:eastAsia="Microsoft JhengHei"/>
          <w:b/>
          <w:color w:val="1565C0"/>
          <w:sz w:val="28"/>
        </w:rPr>
        <w:t>413-1 當地社區參與及社會衝擊評估計畫成效</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413 - 當地社區參與及社會衝擊評估計畫成效」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413-2 社區共榮基金運作與公益投入效益</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413 - 社區共榮基金運作與公益投入效益」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三十二、 GRI 414：供應商社會評估</w:t>
      </w:r>
    </w:p>
    <w:p>
      <w:pPr>
        <w:keepNext/>
        <w:spacing w:before="280" w:after="120"/>
      </w:pPr>
      <w:r>
        <w:rPr>
          <w:rFonts w:ascii="Arial" w:hAnsi="Arial"/>
          <w:rFonts w:ascii="Arial" w:hAnsi="Arial" w:eastAsia="Microsoft JhengHei"/>
          <w:b/>
          <w:color w:val="1565C0"/>
          <w:sz w:val="28"/>
        </w:rPr>
        <w:t>414-1 依社會標準篩選之新供應商與社會稽核</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414 - 依社會標準篩選之新供應商與社會稽核」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414-2 供應商社會風險與人權合規稽核</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414 - 供應商社會風險與人權合規稽核」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三十三、 GRI 415：公共政策參與</w:t>
      </w:r>
    </w:p>
    <w:p>
      <w:pPr>
        <w:keepNext/>
        <w:spacing w:before="280" w:after="120"/>
      </w:pPr>
      <w:r>
        <w:rPr>
          <w:rFonts w:ascii="Arial" w:hAnsi="Arial"/>
          <w:rFonts w:ascii="Arial" w:hAnsi="Arial" w:eastAsia="Microsoft JhengHei"/>
          <w:b/>
          <w:color w:val="1565C0"/>
          <w:sz w:val="28"/>
        </w:rPr>
        <w:t>415-1 公共政策參與及政治捐獻合規性宣告</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415 - 公共政策參與及政治捐獻合規性宣告」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415-2 永續產業倡議合作與合規性稽核</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415 - 永續產業倡議合作與合規性稽核」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三十四、 GRI 416：顧客健康與安全</w:t>
      </w:r>
    </w:p>
    <w:p>
      <w:pPr>
        <w:keepNext/>
        <w:spacing w:before="280" w:after="120"/>
      </w:pPr>
      <w:r>
        <w:rPr>
          <w:rFonts w:ascii="Arial" w:hAnsi="Arial"/>
          <w:rFonts w:ascii="Arial" w:hAnsi="Arial" w:eastAsia="Microsoft JhengHei"/>
          <w:b/>
          <w:color w:val="1565C0"/>
          <w:sz w:val="28"/>
        </w:rPr>
        <w:t>416-1 產品與服務之健康與安全衝擊評估</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416 - 產品與服務之健康與安全衝擊評估」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416-2 產品生命週期安全監控與責任保險</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416 - 產品生命週期安全監控與責任保險」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三十五、 GRI 417：產品資訊與標示</w:t>
      </w:r>
    </w:p>
    <w:p>
      <w:pPr>
        <w:keepNext/>
        <w:spacing w:before="280" w:after="120"/>
      </w:pPr>
      <w:r>
        <w:rPr>
          <w:rFonts w:ascii="Arial" w:hAnsi="Arial"/>
          <w:rFonts w:ascii="Arial" w:hAnsi="Arial" w:eastAsia="Microsoft JhengHei"/>
          <w:b/>
          <w:color w:val="1565C0"/>
          <w:sz w:val="28"/>
        </w:rPr>
        <w:t>417-1 產品服務資訊與標示規範遵循與資訊透明</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417 - 產品服務資訊與標示規範遵循與資訊透明」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417-2 產品行銷與宣傳活動法律合規性</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417 - 產品行銷與宣傳活動法律合規性」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三十六、 GRI 418：客戶隱私維護</w:t>
      </w:r>
    </w:p>
    <w:p>
      <w:pPr>
        <w:keepNext/>
        <w:spacing w:before="280" w:after="120"/>
      </w:pPr>
      <w:r>
        <w:rPr>
          <w:rFonts w:ascii="Arial" w:hAnsi="Arial"/>
          <w:rFonts w:ascii="Arial" w:hAnsi="Arial" w:eastAsia="Microsoft JhengHei"/>
          <w:b/>
          <w:color w:val="1565C0"/>
          <w:sz w:val="28"/>
        </w:rPr>
        <w:t>418-1 侵犯客戶隱私與遺失資料事件統計與防護</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418 - 侵犯客戶隱私與遺失資料事件統計與防護」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pPr>
        <w:keepNext/>
        <w:spacing w:before="280" w:after="120"/>
      </w:pPr>
      <w:r>
        <w:rPr>
          <w:rFonts w:ascii="Arial" w:hAnsi="Arial"/>
          <w:rFonts w:ascii="Arial" w:hAnsi="Arial" w:eastAsia="Microsoft JhengHei"/>
          <w:b/>
          <w:color w:val="1565C0"/>
          <w:sz w:val="28"/>
        </w:rPr>
        <w:t>418-2 資訊安全防護體系與客戶隱私機制</w:t>
      </w:r>
    </w:p>
    <w:p>
      <w:pPr>
        <w:spacing w:line="312" w:lineRule="auto" w:after="160"/>
        <w:jc w:val="both"/>
      </w:pPr>
      <w:r>
        <w:rPr>
          <w:rFonts w:ascii="Arial" w:hAnsi="Arial"/>
          <w:rFonts w:ascii="Arial" w:hAnsi="Arial" w:eastAsia="Microsoft JhengHei"/>
          <w:color w:val="212121"/>
          <w:sz w:val="22"/>
        </w:rPr>
        <w:t>【一、管理方針與核心框架】關於 星光電子製造廠 在「GRI 418 - 資訊安全防護體系與客戶隱私機制」議題的管理背景，本公司已正式將其納入年度最高等級之核心考管指標與永續報告框架。由總經理室親自督導永續發展委員會，並會同各權責部門制定完善的日常內控制度、流程指引與資訊確信流程。我們常態性實施內部稽核與高頻能效管考，以健全整體經營韌性，確保公司治理方針與利害關係人的期望完全一致。</w:t>
      </w:r>
    </w:p>
    <w:p>
      <w:pPr>
        <w:spacing w:line="312" w:lineRule="auto" w:after="160"/>
      </w:pPr>
      <w:r>
        <w:rPr>
          <w:rFonts w:ascii="Arial" w:hAnsi="Arial"/>
          <w:rFonts w:ascii="Arial" w:hAnsi="Arial" w:eastAsia="Microsoft JhengHei"/>
          <w:color w:val="212121"/>
          <w:sz w:val="22"/>
        </w:rPr>
        <w:t>【二、年度實務執行績效】在 2025 年度營運期間，本公司於本揭露項目之各項實務運作皆百分之百合規。經跨部門查核與內部數據清洗確信，本年度在此範疇內無任何違反國家法令之重大事故、被投訴案件或勞資糾紛事件。相關營運據點之關鍵管理數據皆在設定之最適化安全控制區間，流程控管成效良好，深度對標國際同業之最佳永續治理範本。</w:t>
      </w:r>
    </w:p>
    <w:p>
      <w:pPr>
        <w:spacing w:line="312" w:lineRule="auto" w:after="160"/>
      </w:pPr>
      <w:r>
        <w:rPr>
          <w:rFonts w:ascii="Arial" w:hAnsi="Arial"/>
          <w:rFonts w:ascii="Arial" w:hAnsi="Arial" w:eastAsia="Microsoft JhengHei"/>
          <w:color w:val="212121"/>
          <w:sz w:val="22"/>
        </w:rPr>
        <w:t>【三、長期永續承諾與未來精進】展望未來，本公司將持續深化落實綠色數位雙軸轉型戰術，並規劃於下一年度引進 Few-shot 智慧切片技術以提升自主管考效率。我們承諾每年定期發布非財務數據之更新，提撥專款預算用於相關流程優化與人員培訓，審慎防範潛在環境與社會風險，擴展企業在社會責任層面之正向影響力，攜手所有價值鏈夥伴共創綠色誠信的永續未來。</w:t>
      </w:r>
    </w:p>
    <w:p>
      <w:r>
        <w:br w:type="page"/>
      </w:r>
    </w:p>
    <w:p>
      <w:pPr>
        <w:keepNext/>
        <w:spacing w:before="360" w:after="160"/>
      </w:pPr>
      <w:r>
        <w:rPr>
          <w:rFonts w:ascii="Arial" w:hAnsi="Arial"/>
          <w:rFonts w:ascii="Arial" w:hAnsi="Arial" w:eastAsia="Microsoft JhengHei"/>
          <w:b/>
          <w:color w:val="2E7D32"/>
          <w:sz w:val="36"/>
        </w:rPr>
        <w:t>附錄一、 GRI 揭露指標索引對照表</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rFonts w:ascii="Arial" w:hAnsi="Arial"/>
                <w:rFonts w:ascii="Arial" w:hAnsi="Arial" w:eastAsia="Microsoft JhengHei"/>
                <w:sz w:val="19"/>
              </w:rPr>
              <w:t>GRI 準則項目</w:t>
            </w:r>
          </w:p>
        </w:tc>
        <w:tc>
          <w:tcPr>
            <w:tcW w:type="dxa" w:w="3120"/>
          </w:tcPr>
          <w:p>
            <w:r>
              <w:rPr>
                <w:rFonts w:ascii="Arial" w:hAnsi="Arial"/>
                <w:rFonts w:ascii="Arial" w:hAnsi="Arial" w:eastAsia="Microsoft JhengHei"/>
                <w:sz w:val="19"/>
              </w:rPr>
              <w:t>揭露指標內容說明</w:t>
            </w:r>
          </w:p>
        </w:tc>
        <w:tc>
          <w:tcPr>
            <w:tcW w:type="dxa" w:w="3120"/>
          </w:tcPr>
          <w:p>
            <w:r>
              <w:rPr>
                <w:rFonts w:ascii="Arial" w:hAnsi="Arial"/>
                <w:rFonts w:ascii="Arial" w:hAnsi="Arial" w:eastAsia="Microsoft JhengHei"/>
                <w:sz w:val="19"/>
              </w:rPr>
              <w:t>對應報告章節與合規宣告</w:t>
            </w:r>
          </w:p>
        </w:tc>
      </w:tr>
      <w:tr>
        <w:tc>
          <w:tcPr>
            <w:tcW w:type="dxa" w:w="3120"/>
          </w:tcPr>
          <w:p>
            <w:r>
              <w:rPr>
                <w:rFonts w:ascii="Arial" w:hAnsi="Arial"/>
                <w:rFonts w:ascii="Arial" w:hAnsi="Arial" w:eastAsia="Microsoft JhengHei"/>
                <w:sz w:val="19"/>
              </w:rPr>
              <w:t>GRI 2</w:t>
            </w:r>
          </w:p>
        </w:tc>
        <w:tc>
          <w:tcPr>
            <w:tcW w:type="dxa" w:w="3120"/>
          </w:tcPr>
          <w:p>
            <w:r>
              <w:rPr>
                <w:rFonts w:ascii="Arial" w:hAnsi="Arial"/>
                <w:rFonts w:ascii="Arial" w:hAnsi="Arial" w:eastAsia="Microsoft JhengHei"/>
                <w:sz w:val="19"/>
              </w:rPr>
              <w:t>組織基本規格與據點規模配置</w:t>
            </w:r>
          </w:p>
        </w:tc>
        <w:tc>
          <w:tcPr>
            <w:tcW w:type="dxa" w:w="3120"/>
          </w:tcPr>
          <w:p>
            <w:r>
              <w:rPr>
                <w:rFonts w:ascii="Arial" w:hAnsi="Arial"/>
                <w:rFonts w:ascii="Arial" w:hAnsi="Arial" w:eastAsia="Microsoft JhengHei"/>
                <w:sz w:val="19"/>
              </w:rPr>
              <w:t>詳見本報告書【GRI 2】專章，落實智慧切片資訊揭露。</w:t>
            </w:r>
          </w:p>
        </w:tc>
      </w:tr>
      <w:tr>
        <w:tc>
          <w:tcPr>
            <w:tcW w:type="dxa" w:w="3120"/>
          </w:tcPr>
          <w:p>
            <w:r>
              <w:rPr>
                <w:rFonts w:ascii="Arial" w:hAnsi="Arial"/>
                <w:rFonts w:ascii="Arial" w:hAnsi="Arial" w:eastAsia="Microsoft JhengHei"/>
                <w:sz w:val="19"/>
              </w:rPr>
              <w:t>GRI 2</w:t>
            </w:r>
          </w:p>
        </w:tc>
        <w:tc>
          <w:tcPr>
            <w:tcW w:type="dxa" w:w="3120"/>
          </w:tcPr>
          <w:p>
            <w:r>
              <w:rPr>
                <w:rFonts w:ascii="Arial" w:hAnsi="Arial"/>
                <w:rFonts w:ascii="Arial" w:hAnsi="Arial" w:eastAsia="Microsoft JhengHei"/>
                <w:sz w:val="19"/>
              </w:rPr>
              <w:t>商業活動與全球價值鏈關係對應</w:t>
            </w:r>
          </w:p>
        </w:tc>
        <w:tc>
          <w:tcPr>
            <w:tcW w:type="dxa" w:w="3120"/>
          </w:tcPr>
          <w:p>
            <w:r>
              <w:rPr>
                <w:rFonts w:ascii="Arial" w:hAnsi="Arial"/>
                <w:rFonts w:ascii="Arial" w:hAnsi="Arial" w:eastAsia="Microsoft JhengHei"/>
                <w:sz w:val="19"/>
              </w:rPr>
              <w:t>詳見本報告書【GRI 2】專章，落實智慧切片資訊揭露。</w:t>
            </w:r>
          </w:p>
        </w:tc>
      </w:tr>
      <w:tr>
        <w:tc>
          <w:tcPr>
            <w:tcW w:type="dxa" w:w="3120"/>
          </w:tcPr>
          <w:p>
            <w:r>
              <w:rPr>
                <w:rFonts w:ascii="Arial" w:hAnsi="Arial"/>
                <w:rFonts w:ascii="Arial" w:hAnsi="Arial" w:eastAsia="Microsoft JhengHei"/>
                <w:sz w:val="19"/>
              </w:rPr>
              <w:t>GRI 2</w:t>
            </w:r>
          </w:p>
        </w:tc>
        <w:tc>
          <w:tcPr>
            <w:tcW w:type="dxa" w:w="3120"/>
          </w:tcPr>
          <w:p>
            <w:r>
              <w:rPr>
                <w:rFonts w:ascii="Arial" w:hAnsi="Arial"/>
                <w:rFonts w:ascii="Arial" w:hAnsi="Arial" w:eastAsia="Microsoft JhengHei"/>
                <w:sz w:val="19"/>
              </w:rPr>
              <w:t>人力資源結構與員工背景分佈統計</w:t>
            </w:r>
          </w:p>
        </w:tc>
        <w:tc>
          <w:tcPr>
            <w:tcW w:type="dxa" w:w="3120"/>
          </w:tcPr>
          <w:p>
            <w:r>
              <w:rPr>
                <w:rFonts w:ascii="Arial" w:hAnsi="Arial"/>
                <w:rFonts w:ascii="Arial" w:hAnsi="Arial" w:eastAsia="Microsoft JhengHei"/>
                <w:sz w:val="19"/>
              </w:rPr>
              <w:t>詳見本報告書【GRI 2】專章，落實智慧切片資訊揭露。</w:t>
            </w:r>
          </w:p>
        </w:tc>
      </w:tr>
      <w:tr>
        <w:tc>
          <w:tcPr>
            <w:tcW w:type="dxa" w:w="3120"/>
          </w:tcPr>
          <w:p>
            <w:r>
              <w:rPr>
                <w:rFonts w:ascii="Arial" w:hAnsi="Arial"/>
                <w:rFonts w:ascii="Arial" w:hAnsi="Arial" w:eastAsia="Microsoft JhengHei"/>
                <w:sz w:val="19"/>
              </w:rPr>
              <w:t>GRI 201</w:t>
            </w:r>
          </w:p>
        </w:tc>
        <w:tc>
          <w:tcPr>
            <w:tcW w:type="dxa" w:w="3120"/>
          </w:tcPr>
          <w:p>
            <w:r>
              <w:rPr>
                <w:rFonts w:ascii="Arial" w:hAnsi="Arial"/>
                <w:rFonts w:ascii="Arial" w:hAnsi="Arial" w:eastAsia="Microsoft JhengHei"/>
                <w:sz w:val="19"/>
              </w:rPr>
              <w:t>直接產生與分配之經濟價值分析</w:t>
            </w:r>
          </w:p>
        </w:tc>
        <w:tc>
          <w:tcPr>
            <w:tcW w:type="dxa" w:w="3120"/>
          </w:tcPr>
          <w:p>
            <w:r>
              <w:rPr>
                <w:rFonts w:ascii="Arial" w:hAnsi="Arial"/>
                <w:rFonts w:ascii="Arial" w:hAnsi="Arial" w:eastAsia="Microsoft JhengHei"/>
                <w:sz w:val="19"/>
              </w:rPr>
              <w:t>詳見本報告書【GRI 201】專章，落實智慧切片資訊揭露。</w:t>
            </w:r>
          </w:p>
        </w:tc>
      </w:tr>
      <w:tr>
        <w:tc>
          <w:tcPr>
            <w:tcW w:type="dxa" w:w="3120"/>
          </w:tcPr>
          <w:p>
            <w:r>
              <w:rPr>
                <w:rFonts w:ascii="Arial" w:hAnsi="Arial"/>
                <w:rFonts w:ascii="Arial" w:hAnsi="Arial" w:eastAsia="Microsoft JhengHei"/>
                <w:sz w:val="19"/>
              </w:rPr>
              <w:t>GRI 201</w:t>
            </w:r>
          </w:p>
        </w:tc>
        <w:tc>
          <w:tcPr>
            <w:tcW w:type="dxa" w:w="3120"/>
          </w:tcPr>
          <w:p>
            <w:r>
              <w:rPr>
                <w:rFonts w:ascii="Arial" w:hAnsi="Arial"/>
                <w:rFonts w:ascii="Arial" w:hAnsi="Arial" w:eastAsia="Microsoft JhengHei"/>
                <w:sz w:val="19"/>
              </w:rPr>
              <w:t>氣候變遷財務影響評估</w:t>
            </w:r>
          </w:p>
        </w:tc>
        <w:tc>
          <w:tcPr>
            <w:tcW w:type="dxa" w:w="3120"/>
          </w:tcPr>
          <w:p>
            <w:r>
              <w:rPr>
                <w:rFonts w:ascii="Arial" w:hAnsi="Arial"/>
                <w:rFonts w:ascii="Arial" w:hAnsi="Arial" w:eastAsia="Microsoft JhengHei"/>
                <w:sz w:val="19"/>
              </w:rPr>
              <w:t>詳見本報告書【GRI 201】專章，落實智慧切片資訊揭露。</w:t>
            </w:r>
          </w:p>
        </w:tc>
      </w:tr>
      <w:tr>
        <w:tc>
          <w:tcPr>
            <w:tcW w:type="dxa" w:w="3120"/>
          </w:tcPr>
          <w:p>
            <w:r>
              <w:rPr>
                <w:rFonts w:ascii="Arial" w:hAnsi="Arial"/>
                <w:rFonts w:ascii="Arial" w:hAnsi="Arial" w:eastAsia="Microsoft JhengHei"/>
                <w:sz w:val="19"/>
              </w:rPr>
              <w:t>GRI 201</w:t>
            </w:r>
          </w:p>
        </w:tc>
        <w:tc>
          <w:tcPr>
            <w:tcW w:type="dxa" w:w="3120"/>
          </w:tcPr>
          <w:p>
            <w:r>
              <w:rPr>
                <w:rFonts w:ascii="Arial" w:hAnsi="Arial"/>
                <w:rFonts w:ascii="Arial" w:hAnsi="Arial" w:eastAsia="Microsoft JhengHei"/>
                <w:sz w:val="19"/>
              </w:rPr>
              <w:t>定義福利計畫義務與其他退休計畫</w:t>
            </w:r>
          </w:p>
        </w:tc>
        <w:tc>
          <w:tcPr>
            <w:tcW w:type="dxa" w:w="3120"/>
          </w:tcPr>
          <w:p>
            <w:r>
              <w:rPr>
                <w:rFonts w:ascii="Arial" w:hAnsi="Arial"/>
                <w:rFonts w:ascii="Arial" w:hAnsi="Arial" w:eastAsia="Microsoft JhengHei"/>
                <w:sz w:val="19"/>
              </w:rPr>
              <w:t>詳見本報告書【GRI 201】專章，落實智慧切片資訊揭露。</w:t>
            </w:r>
          </w:p>
        </w:tc>
      </w:tr>
      <w:tr>
        <w:tc>
          <w:tcPr>
            <w:tcW w:type="dxa" w:w="3120"/>
          </w:tcPr>
          <w:p>
            <w:r>
              <w:rPr>
                <w:rFonts w:ascii="Arial" w:hAnsi="Arial"/>
                <w:rFonts w:ascii="Arial" w:hAnsi="Arial" w:eastAsia="Microsoft JhengHei"/>
                <w:sz w:val="19"/>
              </w:rPr>
              <w:t>GRI 202</w:t>
            </w:r>
          </w:p>
        </w:tc>
        <w:tc>
          <w:tcPr>
            <w:tcW w:type="dxa" w:w="3120"/>
          </w:tcPr>
          <w:p>
            <w:r>
              <w:rPr>
                <w:rFonts w:ascii="Arial" w:hAnsi="Arial"/>
                <w:rFonts w:ascii="Arial" w:hAnsi="Arial" w:eastAsia="Microsoft JhengHei"/>
                <w:sz w:val="19"/>
              </w:rPr>
              <w:t>基層起薪與當地最低工資比例關係</w:t>
            </w:r>
          </w:p>
        </w:tc>
        <w:tc>
          <w:tcPr>
            <w:tcW w:type="dxa" w:w="3120"/>
          </w:tcPr>
          <w:p>
            <w:r>
              <w:rPr>
                <w:rFonts w:ascii="Arial" w:hAnsi="Arial"/>
                <w:rFonts w:ascii="Arial" w:hAnsi="Arial" w:eastAsia="Microsoft JhengHei"/>
                <w:sz w:val="19"/>
              </w:rPr>
              <w:t>詳見本報告書【GRI 202】專章，落實智慧切片資訊揭露。</w:t>
            </w:r>
          </w:p>
        </w:tc>
      </w:tr>
      <w:tr>
        <w:tc>
          <w:tcPr>
            <w:tcW w:type="dxa" w:w="3120"/>
          </w:tcPr>
          <w:p>
            <w:r>
              <w:rPr>
                <w:rFonts w:ascii="Arial" w:hAnsi="Arial"/>
                <w:rFonts w:ascii="Arial" w:hAnsi="Arial" w:eastAsia="Microsoft JhengHei"/>
                <w:sz w:val="19"/>
              </w:rPr>
              <w:t>GRI 202</w:t>
            </w:r>
          </w:p>
        </w:tc>
        <w:tc>
          <w:tcPr>
            <w:tcW w:type="dxa" w:w="3120"/>
          </w:tcPr>
          <w:p>
            <w:r>
              <w:rPr>
                <w:rFonts w:ascii="Arial" w:hAnsi="Arial"/>
                <w:rFonts w:ascii="Arial" w:hAnsi="Arial" w:eastAsia="Microsoft JhengHei"/>
                <w:sz w:val="19"/>
              </w:rPr>
              <w:t>當地社區高階主管雇用比例與實務</w:t>
            </w:r>
          </w:p>
        </w:tc>
        <w:tc>
          <w:tcPr>
            <w:tcW w:type="dxa" w:w="3120"/>
          </w:tcPr>
          <w:p>
            <w:r>
              <w:rPr>
                <w:rFonts w:ascii="Arial" w:hAnsi="Arial"/>
                <w:rFonts w:ascii="Arial" w:hAnsi="Arial" w:eastAsia="Microsoft JhengHei"/>
                <w:sz w:val="19"/>
              </w:rPr>
              <w:t>詳見本報告書【GRI 202】專章，落實智慧切片資訊揭露。</w:t>
            </w:r>
          </w:p>
        </w:tc>
      </w:tr>
      <w:tr>
        <w:tc>
          <w:tcPr>
            <w:tcW w:type="dxa" w:w="3120"/>
          </w:tcPr>
          <w:p>
            <w:r>
              <w:rPr>
                <w:rFonts w:ascii="Arial" w:hAnsi="Arial"/>
                <w:rFonts w:ascii="Arial" w:hAnsi="Arial" w:eastAsia="Microsoft JhengHei"/>
                <w:sz w:val="19"/>
              </w:rPr>
              <w:t>GRI 203</w:t>
            </w:r>
          </w:p>
        </w:tc>
        <w:tc>
          <w:tcPr>
            <w:tcW w:type="dxa" w:w="3120"/>
          </w:tcPr>
          <w:p>
            <w:r>
              <w:rPr>
                <w:rFonts w:ascii="Arial" w:hAnsi="Arial"/>
                <w:rFonts w:ascii="Arial" w:hAnsi="Arial" w:eastAsia="Microsoft JhengHei"/>
                <w:sz w:val="19"/>
              </w:rPr>
              <w:t>基礎設施投資與支持性服務執行</w:t>
            </w:r>
          </w:p>
        </w:tc>
        <w:tc>
          <w:tcPr>
            <w:tcW w:type="dxa" w:w="3120"/>
          </w:tcPr>
          <w:p>
            <w:r>
              <w:rPr>
                <w:rFonts w:ascii="Arial" w:hAnsi="Arial"/>
                <w:rFonts w:ascii="Arial" w:hAnsi="Arial" w:eastAsia="Microsoft JhengHei"/>
                <w:sz w:val="19"/>
              </w:rPr>
              <w:t>詳見本報告書【GRI 203】專章，落實智慧切片資訊揭露。</w:t>
            </w:r>
          </w:p>
        </w:tc>
      </w:tr>
      <w:tr>
        <w:tc>
          <w:tcPr>
            <w:tcW w:type="dxa" w:w="3120"/>
          </w:tcPr>
          <w:p>
            <w:r>
              <w:rPr>
                <w:rFonts w:ascii="Arial" w:hAnsi="Arial"/>
                <w:rFonts w:ascii="Arial" w:hAnsi="Arial" w:eastAsia="Microsoft JhengHei"/>
                <w:sz w:val="19"/>
              </w:rPr>
              <w:t>GRI 203</w:t>
            </w:r>
          </w:p>
        </w:tc>
        <w:tc>
          <w:tcPr>
            <w:tcW w:type="dxa" w:w="3120"/>
          </w:tcPr>
          <w:p>
            <w:r>
              <w:rPr>
                <w:rFonts w:ascii="Arial" w:hAnsi="Arial"/>
                <w:rFonts w:ascii="Arial" w:hAnsi="Arial" w:eastAsia="Microsoft JhengHei"/>
                <w:sz w:val="19"/>
              </w:rPr>
              <w:t>重大間接經濟衝擊評估與分析</w:t>
            </w:r>
          </w:p>
        </w:tc>
        <w:tc>
          <w:tcPr>
            <w:tcW w:type="dxa" w:w="3120"/>
          </w:tcPr>
          <w:p>
            <w:r>
              <w:rPr>
                <w:rFonts w:ascii="Arial" w:hAnsi="Arial"/>
                <w:rFonts w:ascii="Arial" w:hAnsi="Arial" w:eastAsia="Microsoft JhengHei"/>
                <w:sz w:val="19"/>
              </w:rPr>
              <w:t>詳見本報告書【GRI 203】專章，落實智慧切片資訊揭露。</w:t>
            </w:r>
          </w:p>
        </w:tc>
      </w:tr>
      <w:tr>
        <w:tc>
          <w:tcPr>
            <w:tcW w:type="dxa" w:w="3120"/>
          </w:tcPr>
          <w:p>
            <w:r>
              <w:rPr>
                <w:rFonts w:ascii="Arial" w:hAnsi="Arial"/>
                <w:rFonts w:ascii="Arial" w:hAnsi="Arial" w:eastAsia="Microsoft JhengHei"/>
                <w:sz w:val="19"/>
              </w:rPr>
              <w:t>GRI 204</w:t>
            </w:r>
          </w:p>
        </w:tc>
        <w:tc>
          <w:tcPr>
            <w:tcW w:type="dxa" w:w="3120"/>
          </w:tcPr>
          <w:p>
            <w:r>
              <w:rPr>
                <w:rFonts w:ascii="Arial" w:hAnsi="Arial"/>
                <w:rFonts w:ascii="Arial" w:hAnsi="Arial" w:eastAsia="Microsoft JhengHei"/>
                <w:sz w:val="19"/>
              </w:rPr>
              <w:t>在地採購支出比例與採購在地化政策</w:t>
            </w:r>
          </w:p>
        </w:tc>
        <w:tc>
          <w:tcPr>
            <w:tcW w:type="dxa" w:w="3120"/>
          </w:tcPr>
          <w:p>
            <w:r>
              <w:rPr>
                <w:rFonts w:ascii="Arial" w:hAnsi="Arial"/>
                <w:rFonts w:ascii="Arial" w:hAnsi="Arial" w:eastAsia="Microsoft JhengHei"/>
                <w:sz w:val="19"/>
              </w:rPr>
              <w:t>詳見本報告書【GRI 204】專章，落實智慧切片資訊揭露。</w:t>
            </w:r>
          </w:p>
        </w:tc>
      </w:tr>
      <w:tr>
        <w:tc>
          <w:tcPr>
            <w:tcW w:type="dxa" w:w="3120"/>
          </w:tcPr>
          <w:p>
            <w:r>
              <w:rPr>
                <w:rFonts w:ascii="Arial" w:hAnsi="Arial"/>
                <w:rFonts w:ascii="Arial" w:hAnsi="Arial" w:eastAsia="Microsoft JhengHei"/>
                <w:sz w:val="19"/>
              </w:rPr>
              <w:t>GRI 204</w:t>
            </w:r>
          </w:p>
        </w:tc>
        <w:tc>
          <w:tcPr>
            <w:tcW w:type="dxa" w:w="3120"/>
          </w:tcPr>
          <w:p>
            <w:r>
              <w:rPr>
                <w:rFonts w:ascii="Arial" w:hAnsi="Arial"/>
                <w:rFonts w:ascii="Arial" w:hAnsi="Arial" w:eastAsia="Microsoft JhengHei"/>
                <w:sz w:val="19"/>
              </w:rPr>
              <w:t>在地供應商遴選與管理機制</w:t>
            </w:r>
          </w:p>
        </w:tc>
        <w:tc>
          <w:tcPr>
            <w:tcW w:type="dxa" w:w="3120"/>
          </w:tcPr>
          <w:p>
            <w:r>
              <w:rPr>
                <w:rFonts w:ascii="Arial" w:hAnsi="Arial"/>
                <w:rFonts w:ascii="Arial" w:hAnsi="Arial" w:eastAsia="Microsoft JhengHei"/>
                <w:sz w:val="19"/>
              </w:rPr>
              <w:t>詳見本報告書【GRI 204】專章，落實智慧切片資訊揭露。</w:t>
            </w:r>
          </w:p>
        </w:tc>
      </w:tr>
      <w:tr>
        <w:tc>
          <w:tcPr>
            <w:tcW w:type="dxa" w:w="3120"/>
          </w:tcPr>
          <w:p>
            <w:r>
              <w:rPr>
                <w:rFonts w:ascii="Arial" w:hAnsi="Arial"/>
                <w:rFonts w:ascii="Arial" w:hAnsi="Arial" w:eastAsia="Microsoft JhengHei"/>
                <w:sz w:val="19"/>
              </w:rPr>
              <w:t>GRI 205</w:t>
            </w:r>
          </w:p>
        </w:tc>
        <w:tc>
          <w:tcPr>
            <w:tcW w:type="dxa" w:w="3120"/>
          </w:tcPr>
          <w:p>
            <w:r>
              <w:rPr>
                <w:rFonts w:ascii="Arial" w:hAnsi="Arial"/>
                <w:rFonts w:ascii="Arial" w:hAnsi="Arial" w:eastAsia="Microsoft JhengHei"/>
                <w:sz w:val="19"/>
              </w:rPr>
              <w:t>已評估貪腐風險之據點與防範措施</w:t>
            </w:r>
          </w:p>
        </w:tc>
        <w:tc>
          <w:tcPr>
            <w:tcW w:type="dxa" w:w="3120"/>
          </w:tcPr>
          <w:p>
            <w:r>
              <w:rPr>
                <w:rFonts w:ascii="Arial" w:hAnsi="Arial"/>
                <w:rFonts w:ascii="Arial" w:hAnsi="Arial" w:eastAsia="Microsoft JhengHei"/>
                <w:sz w:val="19"/>
              </w:rPr>
              <w:t>詳見本報告書【GRI 205】專章，落實智慧切片資訊揭露。</w:t>
            </w:r>
          </w:p>
        </w:tc>
      </w:tr>
      <w:tr>
        <w:tc>
          <w:tcPr>
            <w:tcW w:type="dxa" w:w="3120"/>
          </w:tcPr>
          <w:p>
            <w:r>
              <w:rPr>
                <w:rFonts w:ascii="Arial" w:hAnsi="Arial"/>
                <w:rFonts w:ascii="Arial" w:hAnsi="Arial" w:eastAsia="Microsoft JhengHei"/>
                <w:sz w:val="19"/>
              </w:rPr>
              <w:t>GRI 205</w:t>
            </w:r>
          </w:p>
        </w:tc>
        <w:tc>
          <w:tcPr>
            <w:tcW w:type="dxa" w:w="3120"/>
          </w:tcPr>
          <w:p>
            <w:r>
              <w:rPr>
                <w:rFonts w:ascii="Arial" w:hAnsi="Arial"/>
                <w:rFonts w:ascii="Arial" w:hAnsi="Arial" w:eastAsia="Microsoft JhengHei"/>
                <w:sz w:val="19"/>
              </w:rPr>
              <w:t>反貪腐政策程序之傳達與教育培訓</w:t>
            </w:r>
          </w:p>
        </w:tc>
        <w:tc>
          <w:tcPr>
            <w:tcW w:type="dxa" w:w="3120"/>
          </w:tcPr>
          <w:p>
            <w:r>
              <w:rPr>
                <w:rFonts w:ascii="Arial" w:hAnsi="Arial"/>
                <w:rFonts w:ascii="Arial" w:hAnsi="Arial" w:eastAsia="Microsoft JhengHei"/>
                <w:sz w:val="19"/>
              </w:rPr>
              <w:t>詳見本報告書【GRI 205】專章，落實智慧切片資訊揭露。</w:t>
            </w:r>
          </w:p>
        </w:tc>
      </w:tr>
      <w:tr>
        <w:tc>
          <w:tcPr>
            <w:tcW w:type="dxa" w:w="3120"/>
          </w:tcPr>
          <w:p>
            <w:r>
              <w:rPr>
                <w:rFonts w:ascii="Arial" w:hAnsi="Arial"/>
                <w:rFonts w:ascii="Arial" w:hAnsi="Arial" w:eastAsia="Microsoft JhengHei"/>
                <w:sz w:val="19"/>
              </w:rPr>
              <w:t>GRI 206</w:t>
            </w:r>
          </w:p>
        </w:tc>
        <w:tc>
          <w:tcPr>
            <w:tcW w:type="dxa" w:w="3120"/>
          </w:tcPr>
          <w:p>
            <w:r>
              <w:rPr>
                <w:rFonts w:ascii="Arial" w:hAnsi="Arial"/>
                <w:rFonts w:ascii="Arial" w:hAnsi="Arial" w:eastAsia="Microsoft JhengHei"/>
                <w:sz w:val="19"/>
              </w:rPr>
              <w:t>反競爭行為與壟斷法律訴訟事件統計</w:t>
            </w:r>
          </w:p>
        </w:tc>
        <w:tc>
          <w:tcPr>
            <w:tcW w:type="dxa" w:w="3120"/>
          </w:tcPr>
          <w:p>
            <w:r>
              <w:rPr>
                <w:rFonts w:ascii="Arial" w:hAnsi="Arial"/>
                <w:rFonts w:ascii="Arial" w:hAnsi="Arial" w:eastAsia="Microsoft JhengHei"/>
                <w:sz w:val="19"/>
              </w:rPr>
              <w:t>詳見本報告書【GRI 206】專章，落實智慧切片資訊揭露。</w:t>
            </w:r>
          </w:p>
        </w:tc>
      </w:tr>
      <w:tr>
        <w:tc>
          <w:tcPr>
            <w:tcW w:type="dxa" w:w="3120"/>
          </w:tcPr>
          <w:p>
            <w:r>
              <w:rPr>
                <w:rFonts w:ascii="Arial" w:hAnsi="Arial"/>
                <w:rFonts w:ascii="Arial" w:hAnsi="Arial" w:eastAsia="Microsoft JhengHei"/>
                <w:sz w:val="19"/>
              </w:rPr>
              <w:t>GRI 206</w:t>
            </w:r>
          </w:p>
        </w:tc>
        <w:tc>
          <w:tcPr>
            <w:tcW w:type="dxa" w:w="3120"/>
          </w:tcPr>
          <w:p>
            <w:r>
              <w:rPr>
                <w:rFonts w:ascii="Arial" w:hAnsi="Arial"/>
                <w:rFonts w:ascii="Arial" w:hAnsi="Arial" w:eastAsia="Microsoft JhengHei"/>
                <w:sz w:val="19"/>
              </w:rPr>
              <w:t>公平交易與誠信競爭合規教育</w:t>
            </w:r>
          </w:p>
        </w:tc>
        <w:tc>
          <w:tcPr>
            <w:tcW w:type="dxa" w:w="3120"/>
          </w:tcPr>
          <w:p>
            <w:r>
              <w:rPr>
                <w:rFonts w:ascii="Arial" w:hAnsi="Arial"/>
                <w:rFonts w:ascii="Arial" w:hAnsi="Arial" w:eastAsia="Microsoft JhengHei"/>
                <w:sz w:val="19"/>
              </w:rPr>
              <w:t>詳見本報告書【GRI 206】專章，落實智慧切片資訊揭露。</w:t>
            </w:r>
          </w:p>
        </w:tc>
      </w:tr>
      <w:tr>
        <w:tc>
          <w:tcPr>
            <w:tcW w:type="dxa" w:w="3120"/>
          </w:tcPr>
          <w:p>
            <w:r>
              <w:rPr>
                <w:rFonts w:ascii="Arial" w:hAnsi="Arial"/>
                <w:rFonts w:ascii="Arial" w:hAnsi="Arial" w:eastAsia="Microsoft JhengHei"/>
                <w:sz w:val="19"/>
              </w:rPr>
              <w:t>GRI 207</w:t>
            </w:r>
          </w:p>
        </w:tc>
        <w:tc>
          <w:tcPr>
            <w:tcW w:type="dxa" w:w="3120"/>
          </w:tcPr>
          <w:p>
            <w:r>
              <w:rPr>
                <w:rFonts w:ascii="Arial" w:hAnsi="Arial"/>
                <w:rFonts w:ascii="Arial" w:hAnsi="Arial" w:eastAsia="Microsoft JhengHei"/>
                <w:sz w:val="19"/>
              </w:rPr>
              <w:t>稅務治理結構與稅務合規策略</w:t>
            </w:r>
          </w:p>
        </w:tc>
        <w:tc>
          <w:tcPr>
            <w:tcW w:type="dxa" w:w="3120"/>
          </w:tcPr>
          <w:p>
            <w:r>
              <w:rPr>
                <w:rFonts w:ascii="Arial" w:hAnsi="Arial"/>
                <w:rFonts w:ascii="Arial" w:hAnsi="Arial" w:eastAsia="Microsoft JhengHei"/>
                <w:sz w:val="19"/>
              </w:rPr>
              <w:t>詳見本報告書【GRI 207】專章，落實智慧切片資訊揭露。</w:t>
            </w:r>
          </w:p>
        </w:tc>
      </w:tr>
      <w:tr>
        <w:tc>
          <w:tcPr>
            <w:tcW w:type="dxa" w:w="3120"/>
          </w:tcPr>
          <w:p>
            <w:r>
              <w:rPr>
                <w:rFonts w:ascii="Arial" w:hAnsi="Arial"/>
                <w:rFonts w:ascii="Arial" w:hAnsi="Arial" w:eastAsia="Microsoft JhengHei"/>
                <w:sz w:val="19"/>
              </w:rPr>
              <w:t>GRI 207</w:t>
            </w:r>
          </w:p>
        </w:tc>
        <w:tc>
          <w:tcPr>
            <w:tcW w:type="dxa" w:w="3120"/>
          </w:tcPr>
          <w:p>
            <w:r>
              <w:rPr>
                <w:rFonts w:ascii="Arial" w:hAnsi="Arial"/>
                <w:rFonts w:ascii="Arial" w:hAnsi="Arial" w:eastAsia="Microsoft JhengHei"/>
                <w:sz w:val="19"/>
              </w:rPr>
              <w:t>稅務風險控制與合規性稽核管理</w:t>
            </w:r>
          </w:p>
        </w:tc>
        <w:tc>
          <w:tcPr>
            <w:tcW w:type="dxa" w:w="3120"/>
          </w:tcPr>
          <w:p>
            <w:r>
              <w:rPr>
                <w:rFonts w:ascii="Arial" w:hAnsi="Arial"/>
                <w:rFonts w:ascii="Arial" w:hAnsi="Arial" w:eastAsia="Microsoft JhengHei"/>
                <w:sz w:val="19"/>
              </w:rPr>
              <w:t>詳見本報告書【GRI 207】專章，落實智慧切片資訊揭露。</w:t>
            </w:r>
          </w:p>
        </w:tc>
      </w:tr>
      <w:tr>
        <w:tc>
          <w:tcPr>
            <w:tcW w:type="dxa" w:w="3120"/>
          </w:tcPr>
          <w:p>
            <w:r>
              <w:rPr>
                <w:rFonts w:ascii="Arial" w:hAnsi="Arial"/>
                <w:rFonts w:ascii="Arial" w:hAnsi="Arial" w:eastAsia="Microsoft JhengHei"/>
                <w:sz w:val="19"/>
              </w:rPr>
              <w:t>GRI 301</w:t>
            </w:r>
          </w:p>
        </w:tc>
        <w:tc>
          <w:tcPr>
            <w:tcW w:type="dxa" w:w="3120"/>
          </w:tcPr>
          <w:p>
            <w:r>
              <w:rPr>
                <w:rFonts w:ascii="Arial" w:hAnsi="Arial"/>
                <w:rFonts w:ascii="Arial" w:hAnsi="Arial" w:eastAsia="Microsoft JhengHei"/>
                <w:sz w:val="19"/>
              </w:rPr>
              <w:t>物料使用重量或體積與循環物料佔比</w:t>
            </w:r>
          </w:p>
        </w:tc>
        <w:tc>
          <w:tcPr>
            <w:tcW w:type="dxa" w:w="3120"/>
          </w:tcPr>
          <w:p>
            <w:r>
              <w:rPr>
                <w:rFonts w:ascii="Arial" w:hAnsi="Arial"/>
                <w:rFonts w:ascii="Arial" w:hAnsi="Arial" w:eastAsia="Microsoft JhengHei"/>
                <w:sz w:val="19"/>
              </w:rPr>
              <w:t>詳見本報告書【GRI 301】專章，落實智慧切片資訊揭露。</w:t>
            </w:r>
          </w:p>
        </w:tc>
      </w:tr>
      <w:tr>
        <w:tc>
          <w:tcPr>
            <w:tcW w:type="dxa" w:w="3120"/>
          </w:tcPr>
          <w:p>
            <w:r>
              <w:rPr>
                <w:rFonts w:ascii="Arial" w:hAnsi="Arial"/>
                <w:rFonts w:ascii="Arial" w:hAnsi="Arial" w:eastAsia="Microsoft JhengHei"/>
                <w:sz w:val="19"/>
              </w:rPr>
              <w:t>GRI 301</w:t>
            </w:r>
          </w:p>
        </w:tc>
        <w:tc>
          <w:tcPr>
            <w:tcW w:type="dxa" w:w="3120"/>
          </w:tcPr>
          <w:p>
            <w:r>
              <w:rPr>
                <w:rFonts w:ascii="Arial" w:hAnsi="Arial"/>
                <w:rFonts w:ascii="Arial" w:hAnsi="Arial" w:eastAsia="Microsoft JhengHei"/>
                <w:sz w:val="19"/>
              </w:rPr>
              <w:t>循環再利用進料比例與包裝減量成效</w:t>
            </w:r>
          </w:p>
        </w:tc>
        <w:tc>
          <w:tcPr>
            <w:tcW w:type="dxa" w:w="3120"/>
          </w:tcPr>
          <w:p>
            <w:r>
              <w:rPr>
                <w:rFonts w:ascii="Arial" w:hAnsi="Arial"/>
                <w:rFonts w:ascii="Arial" w:hAnsi="Arial" w:eastAsia="Microsoft JhengHei"/>
                <w:sz w:val="19"/>
              </w:rPr>
              <w:t>詳見本報告書【GRI 301】專章，落實智慧切片資訊揭露。</w:t>
            </w:r>
          </w:p>
        </w:tc>
      </w:tr>
      <w:tr>
        <w:tc>
          <w:tcPr>
            <w:tcW w:type="dxa" w:w="3120"/>
          </w:tcPr>
          <w:p>
            <w:r>
              <w:rPr>
                <w:rFonts w:ascii="Arial" w:hAnsi="Arial"/>
                <w:rFonts w:ascii="Arial" w:hAnsi="Arial" w:eastAsia="Microsoft JhengHei"/>
                <w:sz w:val="19"/>
              </w:rPr>
              <w:t>GRI 302</w:t>
            </w:r>
          </w:p>
        </w:tc>
        <w:tc>
          <w:tcPr>
            <w:tcW w:type="dxa" w:w="3120"/>
          </w:tcPr>
          <w:p>
            <w:r>
              <w:rPr>
                <w:rFonts w:ascii="Arial" w:hAnsi="Arial"/>
                <w:rFonts w:ascii="Arial" w:hAnsi="Arial" w:eastAsia="Microsoft JhengHei"/>
                <w:sz w:val="19"/>
              </w:rPr>
              <w:t>組織內部能源消耗與電力結構分析</w:t>
            </w:r>
          </w:p>
        </w:tc>
        <w:tc>
          <w:tcPr>
            <w:tcW w:type="dxa" w:w="3120"/>
          </w:tcPr>
          <w:p>
            <w:r>
              <w:rPr>
                <w:rFonts w:ascii="Arial" w:hAnsi="Arial"/>
                <w:rFonts w:ascii="Arial" w:hAnsi="Arial" w:eastAsia="Microsoft JhengHei"/>
                <w:sz w:val="19"/>
              </w:rPr>
              <w:t>詳見本報告書【GRI 302】專章，落實智慧切片資訊揭露。</w:t>
            </w:r>
          </w:p>
        </w:tc>
      </w:tr>
      <w:tr>
        <w:tc>
          <w:tcPr>
            <w:tcW w:type="dxa" w:w="3120"/>
          </w:tcPr>
          <w:p>
            <w:r>
              <w:rPr>
                <w:rFonts w:ascii="Arial" w:hAnsi="Arial"/>
                <w:rFonts w:ascii="Arial" w:hAnsi="Arial" w:eastAsia="Microsoft JhengHei"/>
                <w:sz w:val="19"/>
              </w:rPr>
              <w:t>GRI 302</w:t>
            </w:r>
          </w:p>
        </w:tc>
        <w:tc>
          <w:tcPr>
            <w:tcW w:type="dxa" w:w="3120"/>
          </w:tcPr>
          <w:p>
            <w:r>
              <w:rPr>
                <w:rFonts w:ascii="Arial" w:hAnsi="Arial"/>
                <w:rFonts w:ascii="Arial" w:hAnsi="Arial" w:eastAsia="Microsoft JhengHei"/>
                <w:sz w:val="19"/>
              </w:rPr>
              <w:t>能源密集度與能效提升減量成效</w:t>
            </w:r>
          </w:p>
        </w:tc>
        <w:tc>
          <w:tcPr>
            <w:tcW w:type="dxa" w:w="3120"/>
          </w:tcPr>
          <w:p>
            <w:r>
              <w:rPr>
                <w:rFonts w:ascii="Arial" w:hAnsi="Arial"/>
                <w:rFonts w:ascii="Arial" w:hAnsi="Arial" w:eastAsia="Microsoft JhengHei"/>
                <w:sz w:val="19"/>
              </w:rPr>
              <w:t>詳見本報告書【GRI 302】專章，落實智慧切片資訊揭露。</w:t>
            </w:r>
          </w:p>
        </w:tc>
      </w:tr>
      <w:tr>
        <w:tc>
          <w:tcPr>
            <w:tcW w:type="dxa" w:w="3120"/>
          </w:tcPr>
          <w:p>
            <w:r>
              <w:rPr>
                <w:rFonts w:ascii="Arial" w:hAnsi="Arial"/>
                <w:rFonts w:ascii="Arial" w:hAnsi="Arial" w:eastAsia="Microsoft JhengHei"/>
                <w:sz w:val="19"/>
              </w:rPr>
              <w:t>GRI 303</w:t>
            </w:r>
          </w:p>
        </w:tc>
        <w:tc>
          <w:tcPr>
            <w:tcW w:type="dxa" w:w="3120"/>
          </w:tcPr>
          <w:p>
            <w:r>
              <w:rPr>
                <w:rFonts w:ascii="Arial" w:hAnsi="Arial"/>
                <w:rFonts w:ascii="Arial" w:hAnsi="Arial" w:eastAsia="Microsoft JhengHei"/>
                <w:sz w:val="19"/>
              </w:rPr>
              <w:t>組織與水的相互作用與水源保護方針</w:t>
            </w:r>
          </w:p>
        </w:tc>
        <w:tc>
          <w:tcPr>
            <w:tcW w:type="dxa" w:w="3120"/>
          </w:tcPr>
          <w:p>
            <w:r>
              <w:rPr>
                <w:rFonts w:ascii="Arial" w:hAnsi="Arial"/>
                <w:rFonts w:ascii="Arial" w:hAnsi="Arial" w:eastAsia="Microsoft JhengHei"/>
                <w:sz w:val="19"/>
              </w:rPr>
              <w:t>詳見本報告書【GRI 303】專章，落實智慧切片資訊揭露。</w:t>
            </w:r>
          </w:p>
        </w:tc>
      </w:tr>
      <w:tr>
        <w:tc>
          <w:tcPr>
            <w:tcW w:type="dxa" w:w="3120"/>
          </w:tcPr>
          <w:p>
            <w:r>
              <w:rPr>
                <w:rFonts w:ascii="Arial" w:hAnsi="Arial"/>
                <w:rFonts w:ascii="Arial" w:hAnsi="Arial" w:eastAsia="Microsoft JhengHei"/>
                <w:sz w:val="19"/>
              </w:rPr>
              <w:t>GRI 303</w:t>
            </w:r>
          </w:p>
        </w:tc>
        <w:tc>
          <w:tcPr>
            <w:tcW w:type="dxa" w:w="3120"/>
          </w:tcPr>
          <w:p>
            <w:r>
              <w:rPr>
                <w:rFonts w:ascii="Arial" w:hAnsi="Arial"/>
                <w:rFonts w:ascii="Arial" w:hAnsi="Arial" w:eastAsia="Microsoft JhengHei"/>
                <w:sz w:val="19"/>
              </w:rPr>
              <w:t>排水與水資源循環利用管考機制</w:t>
            </w:r>
          </w:p>
        </w:tc>
        <w:tc>
          <w:tcPr>
            <w:tcW w:type="dxa" w:w="3120"/>
          </w:tcPr>
          <w:p>
            <w:r>
              <w:rPr>
                <w:rFonts w:ascii="Arial" w:hAnsi="Arial"/>
                <w:rFonts w:ascii="Arial" w:hAnsi="Arial" w:eastAsia="Microsoft JhengHei"/>
                <w:sz w:val="19"/>
              </w:rPr>
              <w:t>詳見本報告書【GRI 303】專章，落實智慧切片資訊揭露。</w:t>
            </w:r>
          </w:p>
        </w:tc>
      </w:tr>
      <w:tr>
        <w:tc>
          <w:tcPr>
            <w:tcW w:type="dxa" w:w="3120"/>
          </w:tcPr>
          <w:p>
            <w:r>
              <w:rPr>
                <w:rFonts w:ascii="Arial" w:hAnsi="Arial"/>
                <w:rFonts w:ascii="Arial" w:hAnsi="Arial" w:eastAsia="Microsoft JhengHei"/>
                <w:sz w:val="19"/>
              </w:rPr>
              <w:t>GRI 304</w:t>
            </w:r>
          </w:p>
        </w:tc>
        <w:tc>
          <w:tcPr>
            <w:tcW w:type="dxa" w:w="3120"/>
          </w:tcPr>
          <w:p>
            <w:r>
              <w:rPr>
                <w:rFonts w:ascii="Arial" w:hAnsi="Arial"/>
                <w:rFonts w:ascii="Arial" w:hAnsi="Arial" w:eastAsia="Microsoft JhengHei"/>
                <w:sz w:val="19"/>
              </w:rPr>
              <w:t>營運據點之生物多樣性政策與敏感區防護</w:t>
            </w:r>
          </w:p>
        </w:tc>
        <w:tc>
          <w:tcPr>
            <w:tcW w:type="dxa" w:w="3120"/>
          </w:tcPr>
          <w:p>
            <w:r>
              <w:rPr>
                <w:rFonts w:ascii="Arial" w:hAnsi="Arial"/>
                <w:rFonts w:ascii="Arial" w:hAnsi="Arial" w:eastAsia="Microsoft JhengHei"/>
                <w:sz w:val="19"/>
              </w:rPr>
              <w:t>詳見本報告書【GRI 304】專章，落實智慧切片資訊揭露。</w:t>
            </w:r>
          </w:p>
        </w:tc>
      </w:tr>
      <w:tr>
        <w:tc>
          <w:tcPr>
            <w:tcW w:type="dxa" w:w="3120"/>
          </w:tcPr>
          <w:p>
            <w:r>
              <w:rPr>
                <w:rFonts w:ascii="Arial" w:hAnsi="Arial"/>
                <w:rFonts w:ascii="Arial" w:hAnsi="Arial" w:eastAsia="Microsoft JhengHei"/>
                <w:sz w:val="19"/>
              </w:rPr>
              <w:t>GRI 304</w:t>
            </w:r>
          </w:p>
        </w:tc>
        <w:tc>
          <w:tcPr>
            <w:tcW w:type="dxa" w:w="3120"/>
          </w:tcPr>
          <w:p>
            <w:r>
              <w:rPr>
                <w:rFonts w:ascii="Arial" w:hAnsi="Arial"/>
                <w:rFonts w:ascii="Arial" w:hAnsi="Arial" w:eastAsia="Microsoft JhengHei"/>
                <w:sz w:val="19"/>
              </w:rPr>
              <w:t>營運活動對生物多樣性之潛在衝擊</w:t>
            </w:r>
          </w:p>
        </w:tc>
        <w:tc>
          <w:tcPr>
            <w:tcW w:type="dxa" w:w="3120"/>
          </w:tcPr>
          <w:p>
            <w:r>
              <w:rPr>
                <w:rFonts w:ascii="Arial" w:hAnsi="Arial"/>
                <w:rFonts w:ascii="Arial" w:hAnsi="Arial" w:eastAsia="Microsoft JhengHei"/>
                <w:sz w:val="19"/>
              </w:rPr>
              <w:t>詳見本報告書【GRI 304】專章，落實智慧切片資訊揭露。</w:t>
            </w:r>
          </w:p>
        </w:tc>
      </w:tr>
      <w:tr>
        <w:tc>
          <w:tcPr>
            <w:tcW w:type="dxa" w:w="3120"/>
          </w:tcPr>
          <w:p>
            <w:r>
              <w:rPr>
                <w:rFonts w:ascii="Arial" w:hAnsi="Arial"/>
                <w:rFonts w:ascii="Arial" w:hAnsi="Arial" w:eastAsia="Microsoft JhengHei"/>
                <w:sz w:val="19"/>
              </w:rPr>
              <w:t>GRI 305</w:t>
            </w:r>
          </w:p>
        </w:tc>
        <w:tc>
          <w:tcPr>
            <w:tcW w:type="dxa" w:w="3120"/>
          </w:tcPr>
          <w:p>
            <w:r>
              <w:rPr>
                <w:rFonts w:ascii="Arial" w:hAnsi="Arial"/>
                <w:rFonts w:ascii="Arial" w:hAnsi="Arial" w:eastAsia="Microsoft JhengHei"/>
                <w:sz w:val="19"/>
              </w:rPr>
              <w:t>直接（範疇一）溫室氣體排放量盤查</w:t>
            </w:r>
          </w:p>
        </w:tc>
        <w:tc>
          <w:tcPr>
            <w:tcW w:type="dxa" w:w="3120"/>
          </w:tcPr>
          <w:p>
            <w:r>
              <w:rPr>
                <w:rFonts w:ascii="Arial" w:hAnsi="Arial"/>
                <w:rFonts w:ascii="Arial" w:hAnsi="Arial" w:eastAsia="Microsoft JhengHei"/>
                <w:sz w:val="19"/>
              </w:rPr>
              <w:t>詳見本報告書【GRI 305】專章，落實智慧切片資訊揭露。</w:t>
            </w:r>
          </w:p>
        </w:tc>
      </w:tr>
      <w:tr>
        <w:tc>
          <w:tcPr>
            <w:tcW w:type="dxa" w:w="3120"/>
          </w:tcPr>
          <w:p>
            <w:r>
              <w:rPr>
                <w:rFonts w:ascii="Arial" w:hAnsi="Arial"/>
                <w:rFonts w:ascii="Arial" w:hAnsi="Arial" w:eastAsia="Microsoft JhengHei"/>
                <w:sz w:val="19"/>
              </w:rPr>
              <w:t>GRI 305</w:t>
            </w:r>
          </w:p>
        </w:tc>
        <w:tc>
          <w:tcPr>
            <w:tcW w:type="dxa" w:w="3120"/>
          </w:tcPr>
          <w:p>
            <w:r>
              <w:rPr>
                <w:rFonts w:ascii="Arial" w:hAnsi="Arial"/>
                <w:rFonts w:ascii="Arial" w:hAnsi="Arial" w:eastAsia="Microsoft JhengHei"/>
                <w:sz w:val="19"/>
              </w:rPr>
              <w:t>能源間接（範疇二）溫室氣體排放量盤查</w:t>
            </w:r>
          </w:p>
        </w:tc>
        <w:tc>
          <w:tcPr>
            <w:tcW w:type="dxa" w:w="3120"/>
          </w:tcPr>
          <w:p>
            <w:r>
              <w:rPr>
                <w:rFonts w:ascii="Arial" w:hAnsi="Arial"/>
                <w:rFonts w:ascii="Arial" w:hAnsi="Arial" w:eastAsia="Microsoft JhengHei"/>
                <w:sz w:val="19"/>
              </w:rPr>
              <w:t>詳見本報告書【GRI 305】專章，落實智慧切片資訊揭露。</w:t>
            </w:r>
          </w:p>
        </w:tc>
      </w:tr>
      <w:tr>
        <w:tc>
          <w:tcPr>
            <w:tcW w:type="dxa" w:w="3120"/>
          </w:tcPr>
          <w:p>
            <w:r>
              <w:rPr>
                <w:rFonts w:ascii="Arial" w:hAnsi="Arial"/>
                <w:rFonts w:ascii="Arial" w:hAnsi="Arial" w:eastAsia="Microsoft JhengHei"/>
                <w:sz w:val="19"/>
              </w:rPr>
              <w:t>GRI 305</w:t>
            </w:r>
          </w:p>
        </w:tc>
        <w:tc>
          <w:tcPr>
            <w:tcW w:type="dxa" w:w="3120"/>
          </w:tcPr>
          <w:p>
            <w:r>
              <w:rPr>
                <w:rFonts w:ascii="Arial" w:hAnsi="Arial"/>
                <w:rFonts w:ascii="Arial" w:hAnsi="Arial" w:eastAsia="Microsoft JhengHei"/>
                <w:sz w:val="19"/>
              </w:rPr>
              <w:t>減量排放 YoY 成效與低碳轉型績效</w:t>
            </w:r>
          </w:p>
        </w:tc>
        <w:tc>
          <w:tcPr>
            <w:tcW w:type="dxa" w:w="3120"/>
          </w:tcPr>
          <w:p>
            <w:r>
              <w:rPr>
                <w:rFonts w:ascii="Arial" w:hAnsi="Arial"/>
                <w:rFonts w:ascii="Arial" w:hAnsi="Arial" w:eastAsia="Microsoft JhengHei"/>
                <w:sz w:val="19"/>
              </w:rPr>
              <w:t>詳見本報告書【GRI 305】專章，落實智慧切片資訊揭露。</w:t>
            </w:r>
          </w:p>
        </w:tc>
      </w:tr>
      <w:tr>
        <w:tc>
          <w:tcPr>
            <w:tcW w:type="dxa" w:w="3120"/>
          </w:tcPr>
          <w:p>
            <w:r>
              <w:rPr>
                <w:rFonts w:ascii="Arial" w:hAnsi="Arial"/>
                <w:rFonts w:ascii="Arial" w:hAnsi="Arial" w:eastAsia="Microsoft JhengHei"/>
                <w:sz w:val="19"/>
              </w:rPr>
              <w:t>GRI 306</w:t>
            </w:r>
          </w:p>
        </w:tc>
        <w:tc>
          <w:tcPr>
            <w:tcW w:type="dxa" w:w="3120"/>
          </w:tcPr>
          <w:p>
            <w:r>
              <w:rPr>
                <w:rFonts w:ascii="Arial" w:hAnsi="Arial"/>
                <w:rFonts w:ascii="Arial" w:hAnsi="Arial" w:eastAsia="Microsoft JhengHei"/>
                <w:sz w:val="19"/>
              </w:rPr>
              <w:t>廢棄物產生源與源頭減量控制措施</w:t>
            </w:r>
          </w:p>
        </w:tc>
        <w:tc>
          <w:tcPr>
            <w:tcW w:type="dxa" w:w="3120"/>
          </w:tcPr>
          <w:p>
            <w:r>
              <w:rPr>
                <w:rFonts w:ascii="Arial" w:hAnsi="Arial"/>
                <w:rFonts w:ascii="Arial" w:hAnsi="Arial" w:eastAsia="Microsoft JhengHei"/>
                <w:sz w:val="19"/>
              </w:rPr>
              <w:t>詳見本報告書【GRI 306】專章，落實智慧切片資訊揭露。</w:t>
            </w:r>
          </w:p>
        </w:tc>
      </w:tr>
      <w:tr>
        <w:tc>
          <w:tcPr>
            <w:tcW w:type="dxa" w:w="3120"/>
          </w:tcPr>
          <w:p>
            <w:r>
              <w:rPr>
                <w:rFonts w:ascii="Arial" w:hAnsi="Arial"/>
                <w:rFonts w:ascii="Arial" w:hAnsi="Arial" w:eastAsia="Microsoft JhengHei"/>
                <w:sz w:val="19"/>
              </w:rPr>
              <w:t>GRI 306</w:t>
            </w:r>
          </w:p>
        </w:tc>
        <w:tc>
          <w:tcPr>
            <w:tcW w:type="dxa" w:w="3120"/>
          </w:tcPr>
          <w:p>
            <w:r>
              <w:rPr>
                <w:rFonts w:ascii="Arial" w:hAnsi="Arial"/>
                <w:rFonts w:ascii="Arial" w:hAnsi="Arial" w:eastAsia="Microsoft JhengHei"/>
                <w:sz w:val="19"/>
              </w:rPr>
              <w:t>資源回收與循環再利用效益量化分析</w:t>
            </w:r>
          </w:p>
        </w:tc>
        <w:tc>
          <w:tcPr>
            <w:tcW w:type="dxa" w:w="3120"/>
          </w:tcPr>
          <w:p>
            <w:r>
              <w:rPr>
                <w:rFonts w:ascii="Arial" w:hAnsi="Arial"/>
                <w:rFonts w:ascii="Arial" w:hAnsi="Arial" w:eastAsia="Microsoft JhengHei"/>
                <w:sz w:val="19"/>
              </w:rPr>
              <w:t>詳見本報告書【GRI 306】專章，落實智慧切片資訊揭露。</w:t>
            </w:r>
          </w:p>
        </w:tc>
      </w:tr>
      <w:tr>
        <w:tc>
          <w:tcPr>
            <w:tcW w:type="dxa" w:w="3120"/>
          </w:tcPr>
          <w:p>
            <w:r>
              <w:rPr>
                <w:rFonts w:ascii="Arial" w:hAnsi="Arial"/>
                <w:rFonts w:ascii="Arial" w:hAnsi="Arial" w:eastAsia="Microsoft JhengHei"/>
                <w:sz w:val="19"/>
              </w:rPr>
              <w:t>GRI 307</w:t>
            </w:r>
          </w:p>
        </w:tc>
        <w:tc>
          <w:tcPr>
            <w:tcW w:type="dxa" w:w="3120"/>
          </w:tcPr>
          <w:p>
            <w:r>
              <w:rPr>
                <w:rFonts w:ascii="Arial" w:hAnsi="Arial"/>
                <w:rFonts w:ascii="Arial" w:hAnsi="Arial" w:eastAsia="Microsoft JhengHei"/>
                <w:sz w:val="19"/>
              </w:rPr>
              <w:t>違反環境法律與法規之事件與改善成效</w:t>
            </w:r>
          </w:p>
        </w:tc>
        <w:tc>
          <w:tcPr>
            <w:tcW w:type="dxa" w:w="3120"/>
          </w:tcPr>
          <w:p>
            <w:r>
              <w:rPr>
                <w:rFonts w:ascii="Arial" w:hAnsi="Arial"/>
                <w:rFonts w:ascii="Arial" w:hAnsi="Arial" w:eastAsia="Microsoft JhengHei"/>
                <w:sz w:val="19"/>
              </w:rPr>
              <w:t>詳見本報告書【GRI 307】專章，落實智慧切片資訊揭露。</w:t>
            </w:r>
          </w:p>
        </w:tc>
      </w:tr>
      <w:tr>
        <w:tc>
          <w:tcPr>
            <w:tcW w:type="dxa" w:w="3120"/>
          </w:tcPr>
          <w:p>
            <w:r>
              <w:rPr>
                <w:rFonts w:ascii="Arial" w:hAnsi="Arial"/>
                <w:rFonts w:ascii="Arial" w:hAnsi="Arial" w:eastAsia="Microsoft JhengHei"/>
                <w:sz w:val="19"/>
              </w:rPr>
              <w:t>GRI 307</w:t>
            </w:r>
          </w:p>
        </w:tc>
        <w:tc>
          <w:tcPr>
            <w:tcW w:type="dxa" w:w="3120"/>
          </w:tcPr>
          <w:p>
            <w:r>
              <w:rPr>
                <w:rFonts w:ascii="Arial" w:hAnsi="Arial"/>
                <w:rFonts w:ascii="Arial" w:hAnsi="Arial" w:eastAsia="Microsoft JhengHei"/>
                <w:sz w:val="19"/>
              </w:rPr>
              <w:t>環境合規日常稽核與申訴管道</w:t>
            </w:r>
          </w:p>
        </w:tc>
        <w:tc>
          <w:tcPr>
            <w:tcW w:type="dxa" w:w="3120"/>
          </w:tcPr>
          <w:p>
            <w:r>
              <w:rPr>
                <w:rFonts w:ascii="Arial" w:hAnsi="Arial"/>
                <w:rFonts w:ascii="Arial" w:hAnsi="Arial" w:eastAsia="Microsoft JhengHei"/>
                <w:sz w:val="19"/>
              </w:rPr>
              <w:t>詳見本報告書【GRI 307】專章，落實智慧切片資訊揭露。</w:t>
            </w:r>
          </w:p>
        </w:tc>
      </w:tr>
      <w:tr>
        <w:tc>
          <w:tcPr>
            <w:tcW w:type="dxa" w:w="3120"/>
          </w:tcPr>
          <w:p>
            <w:r>
              <w:rPr>
                <w:rFonts w:ascii="Arial" w:hAnsi="Arial"/>
                <w:rFonts w:ascii="Arial" w:hAnsi="Arial" w:eastAsia="Microsoft JhengHei"/>
                <w:sz w:val="19"/>
              </w:rPr>
              <w:t>GRI 308</w:t>
            </w:r>
          </w:p>
        </w:tc>
        <w:tc>
          <w:tcPr>
            <w:tcW w:type="dxa" w:w="3120"/>
          </w:tcPr>
          <w:p>
            <w:r>
              <w:rPr>
                <w:rFonts w:ascii="Arial" w:hAnsi="Arial"/>
                <w:rFonts w:ascii="Arial" w:hAnsi="Arial" w:eastAsia="Microsoft JhengHei"/>
                <w:sz w:val="19"/>
              </w:rPr>
              <w:t>依環境標準篩選之新供應商與查核比例</w:t>
            </w:r>
          </w:p>
        </w:tc>
        <w:tc>
          <w:tcPr>
            <w:tcW w:type="dxa" w:w="3120"/>
          </w:tcPr>
          <w:p>
            <w:r>
              <w:rPr>
                <w:rFonts w:ascii="Arial" w:hAnsi="Arial"/>
                <w:rFonts w:ascii="Arial" w:hAnsi="Arial" w:eastAsia="Microsoft JhengHei"/>
                <w:sz w:val="19"/>
              </w:rPr>
              <w:t>詳見本報告書【GRI 308】專章，落實智慧切片資訊揭露。</w:t>
            </w:r>
          </w:p>
        </w:tc>
      </w:tr>
      <w:tr>
        <w:tc>
          <w:tcPr>
            <w:tcW w:type="dxa" w:w="3120"/>
          </w:tcPr>
          <w:p>
            <w:r>
              <w:rPr>
                <w:rFonts w:ascii="Arial" w:hAnsi="Arial"/>
                <w:rFonts w:ascii="Arial" w:hAnsi="Arial" w:eastAsia="Microsoft JhengHei"/>
                <w:sz w:val="19"/>
              </w:rPr>
              <w:t>GRI 308</w:t>
            </w:r>
          </w:p>
        </w:tc>
        <w:tc>
          <w:tcPr>
            <w:tcW w:type="dxa" w:w="3120"/>
          </w:tcPr>
          <w:p>
            <w:r>
              <w:rPr>
                <w:rFonts w:ascii="Arial" w:hAnsi="Arial"/>
                <w:rFonts w:ascii="Arial" w:hAnsi="Arial" w:eastAsia="Microsoft JhengHei"/>
                <w:sz w:val="19"/>
              </w:rPr>
              <w:t>供應商環境衝擊評估與改善計畫</w:t>
            </w:r>
          </w:p>
        </w:tc>
        <w:tc>
          <w:tcPr>
            <w:tcW w:type="dxa" w:w="3120"/>
          </w:tcPr>
          <w:p>
            <w:r>
              <w:rPr>
                <w:rFonts w:ascii="Arial" w:hAnsi="Arial"/>
                <w:rFonts w:ascii="Arial" w:hAnsi="Arial" w:eastAsia="Microsoft JhengHei"/>
                <w:sz w:val="19"/>
              </w:rPr>
              <w:t>詳見本報告書【GRI 308】專章，落實智慧切片資訊揭露。</w:t>
            </w:r>
          </w:p>
        </w:tc>
      </w:tr>
      <w:tr>
        <w:tc>
          <w:tcPr>
            <w:tcW w:type="dxa" w:w="3120"/>
          </w:tcPr>
          <w:p>
            <w:r>
              <w:rPr>
                <w:rFonts w:ascii="Arial" w:hAnsi="Arial"/>
                <w:rFonts w:ascii="Arial" w:hAnsi="Arial" w:eastAsia="Microsoft JhengHei"/>
                <w:sz w:val="19"/>
              </w:rPr>
              <w:t>GRI 401</w:t>
            </w:r>
          </w:p>
        </w:tc>
        <w:tc>
          <w:tcPr>
            <w:tcW w:type="dxa" w:w="3120"/>
          </w:tcPr>
          <w:p>
            <w:r>
              <w:rPr>
                <w:rFonts w:ascii="Arial" w:hAnsi="Arial"/>
                <w:rFonts w:ascii="Arial" w:hAnsi="Arial" w:eastAsia="Microsoft JhengHei"/>
                <w:sz w:val="19"/>
              </w:rPr>
              <w:t>新進與離職率結構分析及性別年齡分佈</w:t>
            </w:r>
          </w:p>
        </w:tc>
        <w:tc>
          <w:tcPr>
            <w:tcW w:type="dxa" w:w="3120"/>
          </w:tcPr>
          <w:p>
            <w:r>
              <w:rPr>
                <w:rFonts w:ascii="Arial" w:hAnsi="Arial"/>
                <w:rFonts w:ascii="Arial" w:hAnsi="Arial" w:eastAsia="Microsoft JhengHei"/>
                <w:sz w:val="19"/>
              </w:rPr>
              <w:t>詳見本報告書【GRI 401】專章，落實智慧切片資訊揭露。</w:t>
            </w:r>
          </w:p>
        </w:tc>
      </w:tr>
      <w:tr>
        <w:tc>
          <w:tcPr>
            <w:tcW w:type="dxa" w:w="3120"/>
          </w:tcPr>
          <w:p>
            <w:r>
              <w:rPr>
                <w:rFonts w:ascii="Arial" w:hAnsi="Arial"/>
                <w:rFonts w:ascii="Arial" w:hAnsi="Arial" w:eastAsia="Microsoft JhengHei"/>
                <w:sz w:val="19"/>
              </w:rPr>
              <w:t>GRI 401</w:t>
            </w:r>
          </w:p>
        </w:tc>
        <w:tc>
          <w:tcPr>
            <w:tcW w:type="dxa" w:w="3120"/>
          </w:tcPr>
          <w:p>
            <w:r>
              <w:rPr>
                <w:rFonts w:ascii="Arial" w:hAnsi="Arial"/>
                <w:rFonts w:ascii="Arial" w:hAnsi="Arial" w:eastAsia="Microsoft JhengHei"/>
                <w:sz w:val="19"/>
              </w:rPr>
              <w:t>提供給全職同仁之薪資福利與友善職場</w:t>
            </w:r>
          </w:p>
        </w:tc>
        <w:tc>
          <w:tcPr>
            <w:tcW w:type="dxa" w:w="3120"/>
          </w:tcPr>
          <w:p>
            <w:r>
              <w:rPr>
                <w:rFonts w:ascii="Arial" w:hAnsi="Arial"/>
                <w:rFonts w:ascii="Arial" w:hAnsi="Arial" w:eastAsia="Microsoft JhengHei"/>
                <w:sz w:val="19"/>
              </w:rPr>
              <w:t>詳見本報告書【GRI 401】專章，落實智慧切片資訊揭露。</w:t>
            </w:r>
          </w:p>
        </w:tc>
      </w:tr>
      <w:tr>
        <w:tc>
          <w:tcPr>
            <w:tcW w:type="dxa" w:w="3120"/>
          </w:tcPr>
          <w:p>
            <w:r>
              <w:rPr>
                <w:rFonts w:ascii="Arial" w:hAnsi="Arial"/>
                <w:rFonts w:ascii="Arial" w:hAnsi="Arial" w:eastAsia="Microsoft JhengHei"/>
                <w:sz w:val="19"/>
              </w:rPr>
              <w:t>GRI 402</w:t>
            </w:r>
          </w:p>
        </w:tc>
        <w:tc>
          <w:tcPr>
            <w:tcW w:type="dxa" w:w="3120"/>
          </w:tcPr>
          <w:p>
            <w:r>
              <w:rPr>
                <w:rFonts w:ascii="Arial" w:hAnsi="Arial"/>
                <w:rFonts w:ascii="Arial" w:hAnsi="Arial" w:eastAsia="Microsoft JhengHei"/>
                <w:sz w:val="19"/>
              </w:rPr>
              <w:t>營運重大變更之最低通知期與勞資協商</w:t>
            </w:r>
          </w:p>
        </w:tc>
        <w:tc>
          <w:tcPr>
            <w:tcW w:type="dxa" w:w="3120"/>
          </w:tcPr>
          <w:p>
            <w:r>
              <w:rPr>
                <w:rFonts w:ascii="Arial" w:hAnsi="Arial"/>
                <w:rFonts w:ascii="Arial" w:hAnsi="Arial" w:eastAsia="Microsoft JhengHei"/>
                <w:sz w:val="19"/>
              </w:rPr>
              <w:t>詳見本報告書【GRI 402】專章，落實智慧切片資訊揭露。</w:t>
            </w:r>
          </w:p>
        </w:tc>
      </w:tr>
      <w:tr>
        <w:tc>
          <w:tcPr>
            <w:tcW w:type="dxa" w:w="3120"/>
          </w:tcPr>
          <w:p>
            <w:r>
              <w:rPr>
                <w:rFonts w:ascii="Arial" w:hAnsi="Arial"/>
                <w:rFonts w:ascii="Arial" w:hAnsi="Arial" w:eastAsia="Microsoft JhengHei"/>
                <w:sz w:val="19"/>
              </w:rPr>
              <w:t>GRI 402</w:t>
            </w:r>
          </w:p>
        </w:tc>
        <w:tc>
          <w:tcPr>
            <w:tcW w:type="dxa" w:w="3120"/>
          </w:tcPr>
          <w:p>
            <w:r>
              <w:rPr>
                <w:rFonts w:ascii="Arial" w:hAnsi="Arial"/>
                <w:rFonts w:ascii="Arial" w:hAnsi="Arial" w:eastAsia="Microsoft JhengHei"/>
                <w:sz w:val="19"/>
              </w:rPr>
              <w:t>勞資常態溝通渠道與健全發展</w:t>
            </w:r>
          </w:p>
        </w:tc>
        <w:tc>
          <w:tcPr>
            <w:tcW w:type="dxa" w:w="3120"/>
          </w:tcPr>
          <w:p>
            <w:r>
              <w:rPr>
                <w:rFonts w:ascii="Arial" w:hAnsi="Arial"/>
                <w:rFonts w:ascii="Arial" w:hAnsi="Arial" w:eastAsia="Microsoft JhengHei"/>
                <w:sz w:val="19"/>
              </w:rPr>
              <w:t>詳見本報告書【GRI 402】專章，落實智慧切片資訊揭露。</w:t>
            </w:r>
          </w:p>
        </w:tc>
      </w:tr>
      <w:tr>
        <w:tc>
          <w:tcPr>
            <w:tcW w:type="dxa" w:w="3120"/>
          </w:tcPr>
          <w:p>
            <w:r>
              <w:rPr>
                <w:rFonts w:ascii="Arial" w:hAnsi="Arial"/>
                <w:rFonts w:ascii="Arial" w:hAnsi="Arial" w:eastAsia="Microsoft JhengHei"/>
                <w:sz w:val="19"/>
              </w:rPr>
              <w:t>GRI 403</w:t>
            </w:r>
          </w:p>
        </w:tc>
        <w:tc>
          <w:tcPr>
            <w:tcW w:type="dxa" w:w="3120"/>
          </w:tcPr>
          <w:p>
            <w:r>
              <w:rPr>
                <w:rFonts w:ascii="Arial" w:hAnsi="Arial"/>
                <w:rFonts w:ascii="Arial" w:hAnsi="Arial" w:eastAsia="Microsoft JhengHei"/>
                <w:sz w:val="19"/>
              </w:rPr>
              <w:t>職業安全衛生管理系統建置與職災預防</w:t>
            </w:r>
          </w:p>
        </w:tc>
        <w:tc>
          <w:tcPr>
            <w:tcW w:type="dxa" w:w="3120"/>
          </w:tcPr>
          <w:p>
            <w:r>
              <w:rPr>
                <w:rFonts w:ascii="Arial" w:hAnsi="Arial"/>
                <w:rFonts w:ascii="Arial" w:hAnsi="Arial" w:eastAsia="Microsoft JhengHei"/>
                <w:sz w:val="19"/>
              </w:rPr>
              <w:t>詳見本報告書【GRI 403】專章，落實智慧切片資訊揭露。</w:t>
            </w:r>
          </w:p>
        </w:tc>
      </w:tr>
      <w:tr>
        <w:tc>
          <w:tcPr>
            <w:tcW w:type="dxa" w:w="3120"/>
          </w:tcPr>
          <w:p>
            <w:r>
              <w:rPr>
                <w:rFonts w:ascii="Arial" w:hAnsi="Arial"/>
                <w:rFonts w:ascii="Arial" w:hAnsi="Arial" w:eastAsia="Microsoft JhengHei"/>
                <w:sz w:val="19"/>
              </w:rPr>
              <w:t>GRI 403</w:t>
            </w:r>
          </w:p>
        </w:tc>
        <w:tc>
          <w:tcPr>
            <w:tcW w:type="dxa" w:w="3120"/>
          </w:tcPr>
          <w:p>
            <w:r>
              <w:rPr>
                <w:rFonts w:ascii="Arial" w:hAnsi="Arial"/>
                <w:rFonts w:ascii="Arial" w:hAnsi="Arial" w:eastAsia="Microsoft JhengHei"/>
                <w:sz w:val="19"/>
              </w:rPr>
              <w:t>危害辨識與事故調查機制實務運作</w:t>
            </w:r>
          </w:p>
        </w:tc>
        <w:tc>
          <w:tcPr>
            <w:tcW w:type="dxa" w:w="3120"/>
          </w:tcPr>
          <w:p>
            <w:r>
              <w:rPr>
                <w:rFonts w:ascii="Arial" w:hAnsi="Arial"/>
                <w:rFonts w:ascii="Arial" w:hAnsi="Arial" w:eastAsia="Microsoft JhengHei"/>
                <w:sz w:val="19"/>
              </w:rPr>
              <w:t>詳見本報告書【GRI 403】專章，落實智慧切片資訊揭露。</w:t>
            </w:r>
          </w:p>
        </w:tc>
      </w:tr>
      <w:tr>
        <w:tc>
          <w:tcPr>
            <w:tcW w:type="dxa" w:w="3120"/>
          </w:tcPr>
          <w:p>
            <w:r>
              <w:rPr>
                <w:rFonts w:ascii="Arial" w:hAnsi="Arial"/>
                <w:rFonts w:ascii="Arial" w:hAnsi="Arial" w:eastAsia="Microsoft JhengHei"/>
                <w:sz w:val="19"/>
              </w:rPr>
              <w:t>GRI 404</w:t>
            </w:r>
          </w:p>
        </w:tc>
        <w:tc>
          <w:tcPr>
            <w:tcW w:type="dxa" w:w="3120"/>
          </w:tcPr>
          <w:p>
            <w:r>
              <w:rPr>
                <w:rFonts w:ascii="Arial" w:hAnsi="Arial"/>
                <w:rFonts w:ascii="Arial" w:hAnsi="Arial" w:eastAsia="Microsoft JhengHei"/>
                <w:sz w:val="19"/>
              </w:rPr>
              <w:t>員工平均培訓時數與內部核心課程</w:t>
            </w:r>
          </w:p>
        </w:tc>
        <w:tc>
          <w:tcPr>
            <w:tcW w:type="dxa" w:w="3120"/>
          </w:tcPr>
          <w:p>
            <w:r>
              <w:rPr>
                <w:rFonts w:ascii="Arial" w:hAnsi="Arial"/>
                <w:rFonts w:ascii="Arial" w:hAnsi="Arial" w:eastAsia="Microsoft JhengHei"/>
                <w:sz w:val="19"/>
              </w:rPr>
              <w:t>詳見本報告書【GRI 404】專章，落實智慧切片資訊揭露。</w:t>
            </w:r>
          </w:p>
        </w:tc>
      </w:tr>
      <w:tr>
        <w:tc>
          <w:tcPr>
            <w:tcW w:type="dxa" w:w="3120"/>
          </w:tcPr>
          <w:p>
            <w:r>
              <w:rPr>
                <w:rFonts w:ascii="Arial" w:hAnsi="Arial"/>
                <w:rFonts w:ascii="Arial" w:hAnsi="Arial" w:eastAsia="Microsoft JhengHei"/>
                <w:sz w:val="19"/>
              </w:rPr>
              <w:t>GRI 404</w:t>
            </w:r>
          </w:p>
        </w:tc>
        <w:tc>
          <w:tcPr>
            <w:tcW w:type="dxa" w:w="3120"/>
          </w:tcPr>
          <w:p>
            <w:r>
              <w:rPr>
                <w:rFonts w:ascii="Arial" w:hAnsi="Arial"/>
                <w:rFonts w:ascii="Arial" w:hAnsi="Arial" w:eastAsia="Microsoft JhengHei"/>
                <w:sz w:val="19"/>
              </w:rPr>
              <w:t>職能提升計畫執行效益與過渡期協助</w:t>
            </w:r>
          </w:p>
        </w:tc>
        <w:tc>
          <w:tcPr>
            <w:tcW w:type="dxa" w:w="3120"/>
          </w:tcPr>
          <w:p>
            <w:r>
              <w:rPr>
                <w:rFonts w:ascii="Arial" w:hAnsi="Arial"/>
                <w:rFonts w:ascii="Arial" w:hAnsi="Arial" w:eastAsia="Microsoft JhengHei"/>
                <w:sz w:val="19"/>
              </w:rPr>
              <w:t>詳見本報告書【GRI 404】專章，落實智慧切片資訊揭露。</w:t>
            </w:r>
          </w:p>
        </w:tc>
      </w:tr>
      <w:tr>
        <w:tc>
          <w:tcPr>
            <w:tcW w:type="dxa" w:w="3120"/>
          </w:tcPr>
          <w:p>
            <w:r>
              <w:rPr>
                <w:rFonts w:ascii="Arial" w:hAnsi="Arial"/>
                <w:rFonts w:ascii="Arial" w:hAnsi="Arial" w:eastAsia="Microsoft JhengHei"/>
                <w:sz w:val="19"/>
              </w:rPr>
              <w:t>GRI 405</w:t>
            </w:r>
          </w:p>
        </w:tc>
        <w:tc>
          <w:tcPr>
            <w:tcW w:type="dxa" w:w="3120"/>
          </w:tcPr>
          <w:p>
            <w:r>
              <w:rPr>
                <w:rFonts w:ascii="Arial" w:hAnsi="Arial"/>
                <w:rFonts w:ascii="Arial" w:hAnsi="Arial" w:eastAsia="Microsoft JhengHei"/>
                <w:sz w:val="19"/>
              </w:rPr>
              <w:t>治理機構與員工多元化比例與平等晉升</w:t>
            </w:r>
          </w:p>
        </w:tc>
        <w:tc>
          <w:tcPr>
            <w:tcW w:type="dxa" w:w="3120"/>
          </w:tcPr>
          <w:p>
            <w:r>
              <w:rPr>
                <w:rFonts w:ascii="Arial" w:hAnsi="Arial"/>
                <w:rFonts w:ascii="Arial" w:hAnsi="Arial" w:eastAsia="Microsoft JhengHei"/>
                <w:sz w:val="19"/>
              </w:rPr>
              <w:t>詳見本報告書【GRI 405】專章，落實智慧切片資訊揭露。</w:t>
            </w:r>
          </w:p>
        </w:tc>
      </w:tr>
      <w:tr>
        <w:tc>
          <w:tcPr>
            <w:tcW w:type="dxa" w:w="3120"/>
          </w:tcPr>
          <w:p>
            <w:r>
              <w:rPr>
                <w:rFonts w:ascii="Arial" w:hAnsi="Arial"/>
                <w:rFonts w:ascii="Arial" w:hAnsi="Arial" w:eastAsia="Microsoft JhengHei"/>
                <w:sz w:val="19"/>
              </w:rPr>
              <w:t>GRI 405</w:t>
            </w:r>
          </w:p>
        </w:tc>
        <w:tc>
          <w:tcPr>
            <w:tcW w:type="dxa" w:w="3120"/>
          </w:tcPr>
          <w:p>
            <w:r>
              <w:rPr>
                <w:rFonts w:ascii="Arial" w:hAnsi="Arial"/>
                <w:rFonts w:ascii="Arial" w:hAnsi="Arial" w:eastAsia="Microsoft JhengHei"/>
                <w:sz w:val="19"/>
              </w:rPr>
              <w:t>男女同工同酬與晉升平權</w:t>
            </w:r>
          </w:p>
        </w:tc>
        <w:tc>
          <w:tcPr>
            <w:tcW w:type="dxa" w:w="3120"/>
          </w:tcPr>
          <w:p>
            <w:r>
              <w:rPr>
                <w:rFonts w:ascii="Arial" w:hAnsi="Arial"/>
                <w:rFonts w:ascii="Arial" w:hAnsi="Arial" w:eastAsia="Microsoft JhengHei"/>
                <w:sz w:val="19"/>
              </w:rPr>
              <w:t>詳見本報告書【GRI 405】專章，落實智慧切片資訊揭露。</w:t>
            </w:r>
          </w:p>
        </w:tc>
      </w:tr>
      <w:tr>
        <w:tc>
          <w:tcPr>
            <w:tcW w:type="dxa" w:w="3120"/>
          </w:tcPr>
          <w:p>
            <w:r>
              <w:rPr>
                <w:rFonts w:ascii="Arial" w:hAnsi="Arial"/>
                <w:rFonts w:ascii="Arial" w:hAnsi="Arial" w:eastAsia="Microsoft JhengHei"/>
                <w:sz w:val="19"/>
              </w:rPr>
              <w:t>GRI 406</w:t>
            </w:r>
          </w:p>
        </w:tc>
        <w:tc>
          <w:tcPr>
            <w:tcW w:type="dxa" w:w="3120"/>
          </w:tcPr>
          <w:p>
            <w:r>
              <w:rPr>
                <w:rFonts w:ascii="Arial" w:hAnsi="Arial"/>
                <w:rFonts w:ascii="Arial" w:hAnsi="Arial" w:eastAsia="Microsoft JhengHei"/>
                <w:sz w:val="19"/>
              </w:rPr>
              <w:t>歧視事件及組織採取的糾正與預防行動</w:t>
            </w:r>
          </w:p>
        </w:tc>
        <w:tc>
          <w:tcPr>
            <w:tcW w:type="dxa" w:w="3120"/>
          </w:tcPr>
          <w:p>
            <w:r>
              <w:rPr>
                <w:rFonts w:ascii="Arial" w:hAnsi="Arial"/>
                <w:rFonts w:ascii="Arial" w:hAnsi="Arial" w:eastAsia="Microsoft JhengHei"/>
                <w:sz w:val="19"/>
              </w:rPr>
              <w:t>詳見本報告書【GRI 406】專章，落實智慧切片資訊揭露。</w:t>
            </w:r>
          </w:p>
        </w:tc>
      </w:tr>
      <w:tr>
        <w:tc>
          <w:tcPr>
            <w:tcW w:type="dxa" w:w="3120"/>
          </w:tcPr>
          <w:p>
            <w:r>
              <w:rPr>
                <w:rFonts w:ascii="Arial" w:hAnsi="Arial"/>
                <w:rFonts w:ascii="Arial" w:hAnsi="Arial" w:eastAsia="Microsoft JhengHei"/>
                <w:sz w:val="19"/>
              </w:rPr>
              <w:t>GRI 406</w:t>
            </w:r>
          </w:p>
        </w:tc>
        <w:tc>
          <w:tcPr>
            <w:tcW w:type="dxa" w:w="3120"/>
          </w:tcPr>
          <w:p>
            <w:r>
              <w:rPr>
                <w:rFonts w:ascii="Arial" w:hAnsi="Arial"/>
                <w:rFonts w:ascii="Arial" w:hAnsi="Arial" w:eastAsia="Microsoft JhengHei"/>
                <w:sz w:val="19"/>
              </w:rPr>
              <w:t>職場多元平等宣導與反歧視機制</w:t>
            </w:r>
          </w:p>
        </w:tc>
        <w:tc>
          <w:tcPr>
            <w:tcW w:type="dxa" w:w="3120"/>
          </w:tcPr>
          <w:p>
            <w:r>
              <w:rPr>
                <w:rFonts w:ascii="Arial" w:hAnsi="Arial"/>
                <w:rFonts w:ascii="Arial" w:hAnsi="Arial" w:eastAsia="Microsoft JhengHei"/>
                <w:sz w:val="19"/>
              </w:rPr>
              <w:t>詳見本報告書【GRI 406】專章，落實智慧切片資訊揭露。</w:t>
            </w:r>
          </w:p>
        </w:tc>
      </w:tr>
      <w:tr>
        <w:tc>
          <w:tcPr>
            <w:tcW w:type="dxa" w:w="3120"/>
          </w:tcPr>
          <w:p>
            <w:r>
              <w:rPr>
                <w:rFonts w:ascii="Arial" w:hAnsi="Arial"/>
                <w:rFonts w:ascii="Arial" w:hAnsi="Arial" w:eastAsia="Microsoft JhengHei"/>
                <w:sz w:val="19"/>
              </w:rPr>
              <w:t>GRI 407</w:t>
            </w:r>
          </w:p>
        </w:tc>
        <w:tc>
          <w:tcPr>
            <w:tcW w:type="dxa" w:w="3120"/>
          </w:tcPr>
          <w:p>
            <w:r>
              <w:rPr>
                <w:rFonts w:ascii="Arial" w:hAnsi="Arial"/>
                <w:rFonts w:ascii="Arial" w:hAnsi="Arial" w:eastAsia="Microsoft JhengHei"/>
                <w:sz w:val="19"/>
              </w:rPr>
              <w:t>保障同仁結社自由與團體協商權利之作為</w:t>
            </w:r>
          </w:p>
        </w:tc>
        <w:tc>
          <w:tcPr>
            <w:tcW w:type="dxa" w:w="3120"/>
          </w:tcPr>
          <w:p>
            <w:r>
              <w:rPr>
                <w:rFonts w:ascii="Arial" w:hAnsi="Arial"/>
                <w:rFonts w:ascii="Arial" w:hAnsi="Arial" w:eastAsia="Microsoft JhengHei"/>
                <w:sz w:val="19"/>
              </w:rPr>
              <w:t>詳見本報告書【GRI 407】專章，落實智慧切片資訊揭露。</w:t>
            </w:r>
          </w:p>
        </w:tc>
      </w:tr>
      <w:tr>
        <w:tc>
          <w:tcPr>
            <w:tcW w:type="dxa" w:w="3120"/>
          </w:tcPr>
          <w:p>
            <w:r>
              <w:rPr>
                <w:rFonts w:ascii="Arial" w:hAnsi="Arial"/>
                <w:rFonts w:ascii="Arial" w:hAnsi="Arial" w:eastAsia="Microsoft JhengHei"/>
                <w:sz w:val="19"/>
              </w:rPr>
              <w:t>GRI 407</w:t>
            </w:r>
          </w:p>
        </w:tc>
        <w:tc>
          <w:tcPr>
            <w:tcW w:type="dxa" w:w="3120"/>
          </w:tcPr>
          <w:p>
            <w:r>
              <w:rPr>
                <w:rFonts w:ascii="Arial" w:hAnsi="Arial"/>
                <w:rFonts w:ascii="Arial" w:hAnsi="Arial" w:eastAsia="Microsoft JhengHei"/>
                <w:sz w:val="19"/>
              </w:rPr>
              <w:t>員工意見反映信箱與勞資會議運作</w:t>
            </w:r>
          </w:p>
        </w:tc>
        <w:tc>
          <w:tcPr>
            <w:tcW w:type="dxa" w:w="3120"/>
          </w:tcPr>
          <w:p>
            <w:r>
              <w:rPr>
                <w:rFonts w:ascii="Arial" w:hAnsi="Arial"/>
                <w:rFonts w:ascii="Arial" w:hAnsi="Arial" w:eastAsia="Microsoft JhengHei"/>
                <w:sz w:val="19"/>
              </w:rPr>
              <w:t>詳見本報告書【GRI 407】專章，落實智慧切片資訊揭露。</w:t>
            </w:r>
          </w:p>
        </w:tc>
      </w:tr>
      <w:tr>
        <w:tc>
          <w:tcPr>
            <w:tcW w:type="dxa" w:w="3120"/>
          </w:tcPr>
          <w:p>
            <w:r>
              <w:rPr>
                <w:rFonts w:ascii="Arial" w:hAnsi="Arial"/>
                <w:rFonts w:ascii="Arial" w:hAnsi="Arial" w:eastAsia="Microsoft JhengHei"/>
                <w:sz w:val="19"/>
              </w:rPr>
              <w:t>GRI 408</w:t>
            </w:r>
          </w:p>
        </w:tc>
        <w:tc>
          <w:tcPr>
            <w:tcW w:type="dxa" w:w="3120"/>
          </w:tcPr>
          <w:p>
            <w:r>
              <w:rPr>
                <w:rFonts w:ascii="Arial" w:hAnsi="Arial"/>
                <w:rFonts w:ascii="Arial" w:hAnsi="Arial" w:eastAsia="Microsoft JhengHei"/>
                <w:sz w:val="19"/>
              </w:rPr>
              <w:t>營運據點與供應商童工風險審查與宣示</w:t>
            </w:r>
          </w:p>
        </w:tc>
        <w:tc>
          <w:tcPr>
            <w:tcW w:type="dxa" w:w="3120"/>
          </w:tcPr>
          <w:p>
            <w:r>
              <w:rPr>
                <w:rFonts w:ascii="Arial" w:hAnsi="Arial"/>
                <w:rFonts w:ascii="Arial" w:hAnsi="Arial" w:eastAsia="Microsoft JhengHei"/>
                <w:sz w:val="19"/>
              </w:rPr>
              <w:t>詳見本報告書【GRI 408】專章，落實智慧切片資訊揭露。</w:t>
            </w:r>
          </w:p>
        </w:tc>
      </w:tr>
      <w:tr>
        <w:tc>
          <w:tcPr>
            <w:tcW w:type="dxa" w:w="3120"/>
          </w:tcPr>
          <w:p>
            <w:r>
              <w:rPr>
                <w:rFonts w:ascii="Arial" w:hAnsi="Arial"/>
                <w:rFonts w:ascii="Arial" w:hAnsi="Arial" w:eastAsia="Microsoft JhengHei"/>
                <w:sz w:val="19"/>
              </w:rPr>
              <w:t>GRI 408</w:t>
            </w:r>
          </w:p>
        </w:tc>
        <w:tc>
          <w:tcPr>
            <w:tcW w:type="dxa" w:w="3120"/>
          </w:tcPr>
          <w:p>
            <w:r>
              <w:rPr>
                <w:rFonts w:ascii="Arial" w:hAnsi="Arial"/>
                <w:rFonts w:ascii="Arial" w:hAnsi="Arial" w:eastAsia="Microsoft JhengHei"/>
                <w:sz w:val="19"/>
              </w:rPr>
              <w:t>禁用童工實施成效與監督機制</w:t>
            </w:r>
          </w:p>
        </w:tc>
        <w:tc>
          <w:tcPr>
            <w:tcW w:type="dxa" w:w="3120"/>
          </w:tcPr>
          <w:p>
            <w:r>
              <w:rPr>
                <w:rFonts w:ascii="Arial" w:hAnsi="Arial"/>
                <w:rFonts w:ascii="Arial" w:hAnsi="Arial" w:eastAsia="Microsoft JhengHei"/>
                <w:sz w:val="19"/>
              </w:rPr>
              <w:t>詳見本報告書【GRI 408】專章，落實智慧切片資訊揭露。</w:t>
            </w:r>
          </w:p>
        </w:tc>
      </w:tr>
      <w:tr>
        <w:tc>
          <w:tcPr>
            <w:tcW w:type="dxa" w:w="3120"/>
          </w:tcPr>
          <w:p>
            <w:r>
              <w:rPr>
                <w:rFonts w:ascii="Arial" w:hAnsi="Arial"/>
                <w:rFonts w:ascii="Arial" w:hAnsi="Arial" w:eastAsia="Microsoft JhengHei"/>
                <w:sz w:val="19"/>
              </w:rPr>
              <w:t>GRI 409</w:t>
            </w:r>
          </w:p>
        </w:tc>
        <w:tc>
          <w:tcPr>
            <w:tcW w:type="dxa" w:w="3120"/>
          </w:tcPr>
          <w:p>
            <w:r>
              <w:rPr>
                <w:rFonts w:ascii="Arial" w:hAnsi="Arial"/>
                <w:rFonts w:ascii="Arial" w:hAnsi="Arial" w:eastAsia="Microsoft JhengHei"/>
                <w:sz w:val="19"/>
              </w:rPr>
              <w:t>強迫或強制勞動風險審查與人權維護機制</w:t>
            </w:r>
          </w:p>
        </w:tc>
        <w:tc>
          <w:tcPr>
            <w:tcW w:type="dxa" w:w="3120"/>
          </w:tcPr>
          <w:p>
            <w:r>
              <w:rPr>
                <w:rFonts w:ascii="Arial" w:hAnsi="Arial"/>
                <w:rFonts w:ascii="Arial" w:hAnsi="Arial" w:eastAsia="Microsoft JhengHei"/>
                <w:sz w:val="19"/>
              </w:rPr>
              <w:t>詳見本報告書【GRI 409】專章，落實智慧切片資訊揭露。</w:t>
            </w:r>
          </w:p>
        </w:tc>
      </w:tr>
      <w:tr>
        <w:tc>
          <w:tcPr>
            <w:tcW w:type="dxa" w:w="3120"/>
          </w:tcPr>
          <w:p>
            <w:r>
              <w:rPr>
                <w:rFonts w:ascii="Arial" w:hAnsi="Arial"/>
                <w:rFonts w:ascii="Arial" w:hAnsi="Arial" w:eastAsia="Microsoft JhengHei"/>
                <w:sz w:val="19"/>
              </w:rPr>
              <w:t>GRI 409</w:t>
            </w:r>
          </w:p>
        </w:tc>
        <w:tc>
          <w:tcPr>
            <w:tcW w:type="dxa" w:w="3120"/>
          </w:tcPr>
          <w:p>
            <w:r>
              <w:rPr>
                <w:rFonts w:ascii="Arial" w:hAnsi="Arial"/>
                <w:rFonts w:ascii="Arial" w:hAnsi="Arial" w:eastAsia="Microsoft JhengHei"/>
                <w:sz w:val="19"/>
              </w:rPr>
              <w:t>禁用強迫勞動實施成效與管考</w:t>
            </w:r>
          </w:p>
        </w:tc>
        <w:tc>
          <w:tcPr>
            <w:tcW w:type="dxa" w:w="3120"/>
          </w:tcPr>
          <w:p>
            <w:r>
              <w:rPr>
                <w:rFonts w:ascii="Arial" w:hAnsi="Arial"/>
                <w:rFonts w:ascii="Arial" w:hAnsi="Arial" w:eastAsia="Microsoft JhengHei"/>
                <w:sz w:val="19"/>
              </w:rPr>
              <w:t>詳見本報告書【GRI 409】專章，落實智慧切片資訊揭露。</w:t>
            </w:r>
          </w:p>
        </w:tc>
      </w:tr>
      <w:tr>
        <w:tc>
          <w:tcPr>
            <w:tcW w:type="dxa" w:w="3120"/>
          </w:tcPr>
          <w:p>
            <w:r>
              <w:rPr>
                <w:rFonts w:ascii="Arial" w:hAnsi="Arial"/>
                <w:rFonts w:ascii="Arial" w:hAnsi="Arial" w:eastAsia="Microsoft JhengHei"/>
                <w:sz w:val="19"/>
              </w:rPr>
              <w:t>GRI 410</w:t>
            </w:r>
          </w:p>
        </w:tc>
        <w:tc>
          <w:tcPr>
            <w:tcW w:type="dxa" w:w="3120"/>
          </w:tcPr>
          <w:p>
            <w:r>
              <w:rPr>
                <w:rFonts w:ascii="Arial" w:hAnsi="Arial"/>
                <w:rFonts w:ascii="Arial" w:hAnsi="Arial" w:eastAsia="Microsoft JhengHei"/>
                <w:sz w:val="19"/>
              </w:rPr>
              <w:t>保安人員之人權政策培訓與受訓比率</w:t>
            </w:r>
          </w:p>
        </w:tc>
        <w:tc>
          <w:tcPr>
            <w:tcW w:type="dxa" w:w="3120"/>
          </w:tcPr>
          <w:p>
            <w:r>
              <w:rPr>
                <w:rFonts w:ascii="Arial" w:hAnsi="Arial"/>
                <w:rFonts w:ascii="Arial" w:hAnsi="Arial" w:eastAsia="Microsoft JhengHei"/>
                <w:sz w:val="19"/>
              </w:rPr>
              <w:t>詳見本報告書【GRI 410】專章，落實智慧切片資訊揭露。</w:t>
            </w:r>
          </w:p>
        </w:tc>
      </w:tr>
      <w:tr>
        <w:tc>
          <w:tcPr>
            <w:tcW w:type="dxa" w:w="3120"/>
          </w:tcPr>
          <w:p>
            <w:r>
              <w:rPr>
                <w:rFonts w:ascii="Arial" w:hAnsi="Arial"/>
                <w:rFonts w:ascii="Arial" w:hAnsi="Arial" w:eastAsia="Microsoft JhengHei"/>
                <w:sz w:val="19"/>
              </w:rPr>
              <w:t>GRI 410</w:t>
            </w:r>
          </w:p>
        </w:tc>
        <w:tc>
          <w:tcPr>
            <w:tcW w:type="dxa" w:w="3120"/>
          </w:tcPr>
          <w:p>
            <w:r>
              <w:rPr>
                <w:rFonts w:ascii="Arial" w:hAnsi="Arial"/>
                <w:rFonts w:ascii="Arial" w:hAnsi="Arial" w:eastAsia="Microsoft JhengHei"/>
                <w:sz w:val="19"/>
              </w:rPr>
              <w:t>保安全部業務與安全管理合規審查</w:t>
            </w:r>
          </w:p>
        </w:tc>
        <w:tc>
          <w:tcPr>
            <w:tcW w:type="dxa" w:w="3120"/>
          </w:tcPr>
          <w:p>
            <w:r>
              <w:rPr>
                <w:rFonts w:ascii="Arial" w:hAnsi="Arial"/>
                <w:rFonts w:ascii="Arial" w:hAnsi="Arial" w:eastAsia="Microsoft JhengHei"/>
                <w:sz w:val="19"/>
              </w:rPr>
              <w:t>詳見本報告書【GRI 410】專章，落實智慧切片資訊揭露。</w:t>
            </w:r>
          </w:p>
        </w:tc>
      </w:tr>
      <w:tr>
        <w:tc>
          <w:tcPr>
            <w:tcW w:type="dxa" w:w="3120"/>
          </w:tcPr>
          <w:p>
            <w:r>
              <w:rPr>
                <w:rFonts w:ascii="Arial" w:hAnsi="Arial"/>
                <w:rFonts w:ascii="Arial" w:hAnsi="Arial" w:eastAsia="Microsoft JhengHei"/>
                <w:sz w:val="19"/>
              </w:rPr>
              <w:t>GRI 411</w:t>
            </w:r>
          </w:p>
        </w:tc>
        <w:tc>
          <w:tcPr>
            <w:tcW w:type="dxa" w:w="3120"/>
          </w:tcPr>
          <w:p>
            <w:r>
              <w:rPr>
                <w:rFonts w:ascii="Arial" w:hAnsi="Arial"/>
                <w:rFonts w:ascii="Arial" w:hAnsi="Arial" w:eastAsia="Microsoft JhengHei"/>
                <w:sz w:val="19"/>
              </w:rPr>
              <w:t>侵犯原住民權利事件與當地文化尊重的作為</w:t>
            </w:r>
          </w:p>
        </w:tc>
        <w:tc>
          <w:tcPr>
            <w:tcW w:type="dxa" w:w="3120"/>
          </w:tcPr>
          <w:p>
            <w:r>
              <w:rPr>
                <w:rFonts w:ascii="Arial" w:hAnsi="Arial"/>
                <w:rFonts w:ascii="Arial" w:hAnsi="Arial" w:eastAsia="Microsoft JhengHei"/>
                <w:sz w:val="19"/>
              </w:rPr>
              <w:t>詳見本報告書【GRI 411】專章，落實智慧切片資訊揭露。</w:t>
            </w:r>
          </w:p>
        </w:tc>
      </w:tr>
      <w:tr>
        <w:tc>
          <w:tcPr>
            <w:tcW w:type="dxa" w:w="3120"/>
          </w:tcPr>
          <w:p>
            <w:r>
              <w:rPr>
                <w:rFonts w:ascii="Arial" w:hAnsi="Arial"/>
                <w:rFonts w:ascii="Arial" w:hAnsi="Arial" w:eastAsia="Microsoft JhengHei"/>
                <w:sz w:val="19"/>
              </w:rPr>
              <w:t>GRI 411</w:t>
            </w:r>
          </w:p>
        </w:tc>
        <w:tc>
          <w:tcPr>
            <w:tcW w:type="dxa" w:w="3120"/>
          </w:tcPr>
          <w:p>
            <w:r>
              <w:rPr>
                <w:rFonts w:ascii="Arial" w:hAnsi="Arial"/>
                <w:rFonts w:ascii="Arial" w:hAnsi="Arial" w:eastAsia="Microsoft JhengHei"/>
                <w:sz w:val="19"/>
              </w:rPr>
              <w:t>營運活動對原住民族群之社會衝擊評估</w:t>
            </w:r>
          </w:p>
        </w:tc>
        <w:tc>
          <w:tcPr>
            <w:tcW w:type="dxa" w:w="3120"/>
          </w:tcPr>
          <w:p>
            <w:r>
              <w:rPr>
                <w:rFonts w:ascii="Arial" w:hAnsi="Arial"/>
                <w:rFonts w:ascii="Arial" w:hAnsi="Arial" w:eastAsia="Microsoft JhengHei"/>
                <w:sz w:val="19"/>
              </w:rPr>
              <w:t>詳見本報告書【GRI 411】專章，落實智慧切片資訊揭露。</w:t>
            </w:r>
          </w:p>
        </w:tc>
      </w:tr>
      <w:tr>
        <w:tc>
          <w:tcPr>
            <w:tcW w:type="dxa" w:w="3120"/>
          </w:tcPr>
          <w:p>
            <w:r>
              <w:rPr>
                <w:rFonts w:ascii="Arial" w:hAnsi="Arial"/>
                <w:rFonts w:ascii="Arial" w:hAnsi="Arial" w:eastAsia="Microsoft JhengHei"/>
                <w:sz w:val="19"/>
              </w:rPr>
              <w:t>GRI 412</w:t>
            </w:r>
          </w:p>
        </w:tc>
        <w:tc>
          <w:tcPr>
            <w:tcW w:type="dxa" w:w="3120"/>
          </w:tcPr>
          <w:p>
            <w:r>
              <w:rPr>
                <w:rFonts w:ascii="Arial" w:hAnsi="Arial"/>
                <w:rFonts w:ascii="Arial" w:hAnsi="Arial" w:eastAsia="Microsoft JhengHei"/>
                <w:sz w:val="19"/>
              </w:rPr>
              <w:t>進行人權審查或影響評估之據點百分比</w:t>
            </w:r>
          </w:p>
        </w:tc>
        <w:tc>
          <w:tcPr>
            <w:tcW w:type="dxa" w:w="3120"/>
          </w:tcPr>
          <w:p>
            <w:r>
              <w:rPr>
                <w:rFonts w:ascii="Arial" w:hAnsi="Arial"/>
                <w:rFonts w:ascii="Arial" w:hAnsi="Arial" w:eastAsia="Microsoft JhengHei"/>
                <w:sz w:val="19"/>
              </w:rPr>
              <w:t>詳見本報告書【GRI 412】專章，落實智慧切片資訊揭露。</w:t>
            </w:r>
          </w:p>
        </w:tc>
      </w:tr>
      <w:tr>
        <w:tc>
          <w:tcPr>
            <w:tcW w:type="dxa" w:w="3120"/>
          </w:tcPr>
          <w:p>
            <w:r>
              <w:rPr>
                <w:rFonts w:ascii="Arial" w:hAnsi="Arial"/>
                <w:rFonts w:ascii="Arial" w:hAnsi="Arial" w:eastAsia="Microsoft JhengHei"/>
                <w:sz w:val="19"/>
              </w:rPr>
              <w:t>GRI 412</w:t>
            </w:r>
          </w:p>
        </w:tc>
        <w:tc>
          <w:tcPr>
            <w:tcW w:type="dxa" w:w="3120"/>
          </w:tcPr>
          <w:p>
            <w:r>
              <w:rPr>
                <w:rFonts w:ascii="Arial" w:hAnsi="Arial"/>
                <w:rFonts w:ascii="Arial" w:hAnsi="Arial" w:eastAsia="Microsoft JhengHei"/>
                <w:sz w:val="19"/>
              </w:rPr>
              <w:t>員工權益影響評估政策與執行成效</w:t>
            </w:r>
          </w:p>
        </w:tc>
        <w:tc>
          <w:tcPr>
            <w:tcW w:type="dxa" w:w="3120"/>
          </w:tcPr>
          <w:p>
            <w:r>
              <w:rPr>
                <w:rFonts w:ascii="Arial" w:hAnsi="Arial"/>
                <w:rFonts w:ascii="Arial" w:hAnsi="Arial" w:eastAsia="Microsoft JhengHei"/>
                <w:sz w:val="19"/>
              </w:rPr>
              <w:t>詳見本報告書【GRI 412】專章，落實智慧切片資訊揭露。</w:t>
            </w:r>
          </w:p>
        </w:tc>
      </w:tr>
      <w:tr>
        <w:tc>
          <w:tcPr>
            <w:tcW w:type="dxa" w:w="3120"/>
          </w:tcPr>
          <w:p>
            <w:r>
              <w:rPr>
                <w:rFonts w:ascii="Arial" w:hAnsi="Arial"/>
                <w:rFonts w:ascii="Arial" w:hAnsi="Arial" w:eastAsia="Microsoft JhengHei"/>
                <w:sz w:val="19"/>
              </w:rPr>
              <w:t>GRI 413</w:t>
            </w:r>
          </w:p>
        </w:tc>
        <w:tc>
          <w:tcPr>
            <w:tcW w:type="dxa" w:w="3120"/>
          </w:tcPr>
          <w:p>
            <w:r>
              <w:rPr>
                <w:rFonts w:ascii="Arial" w:hAnsi="Arial"/>
                <w:rFonts w:ascii="Arial" w:hAnsi="Arial" w:eastAsia="Microsoft JhengHei"/>
                <w:sz w:val="19"/>
              </w:rPr>
              <w:t>當地社區參與及社會衝擊評估計畫成效</w:t>
            </w:r>
          </w:p>
        </w:tc>
        <w:tc>
          <w:tcPr>
            <w:tcW w:type="dxa" w:w="3120"/>
          </w:tcPr>
          <w:p>
            <w:r>
              <w:rPr>
                <w:rFonts w:ascii="Arial" w:hAnsi="Arial"/>
                <w:rFonts w:ascii="Arial" w:hAnsi="Arial" w:eastAsia="Microsoft JhengHei"/>
                <w:sz w:val="19"/>
              </w:rPr>
              <w:t>詳見本報告書【GRI 413】專章，落實智慧切片資訊揭露。</w:t>
            </w:r>
          </w:p>
        </w:tc>
      </w:tr>
      <w:tr>
        <w:tc>
          <w:tcPr>
            <w:tcW w:type="dxa" w:w="3120"/>
          </w:tcPr>
          <w:p>
            <w:r>
              <w:rPr>
                <w:rFonts w:ascii="Arial" w:hAnsi="Arial"/>
                <w:rFonts w:ascii="Arial" w:hAnsi="Arial" w:eastAsia="Microsoft JhengHei"/>
                <w:sz w:val="19"/>
              </w:rPr>
              <w:t>GRI 413</w:t>
            </w:r>
          </w:p>
        </w:tc>
        <w:tc>
          <w:tcPr>
            <w:tcW w:type="dxa" w:w="3120"/>
          </w:tcPr>
          <w:p>
            <w:r>
              <w:rPr>
                <w:rFonts w:ascii="Arial" w:hAnsi="Arial"/>
                <w:rFonts w:ascii="Arial" w:hAnsi="Arial" w:eastAsia="Microsoft JhengHei"/>
                <w:sz w:val="19"/>
              </w:rPr>
              <w:t>社區共榮基金運作與公益投入效益</w:t>
            </w:r>
          </w:p>
        </w:tc>
        <w:tc>
          <w:tcPr>
            <w:tcW w:type="dxa" w:w="3120"/>
          </w:tcPr>
          <w:p>
            <w:r>
              <w:rPr>
                <w:rFonts w:ascii="Arial" w:hAnsi="Arial"/>
                <w:rFonts w:ascii="Arial" w:hAnsi="Arial" w:eastAsia="Microsoft JhengHei"/>
                <w:sz w:val="19"/>
              </w:rPr>
              <w:t>詳見本報告書【GRI 413】專章，落實智慧切片資訊揭露。</w:t>
            </w:r>
          </w:p>
        </w:tc>
      </w:tr>
      <w:tr>
        <w:tc>
          <w:tcPr>
            <w:tcW w:type="dxa" w:w="3120"/>
          </w:tcPr>
          <w:p>
            <w:r>
              <w:rPr>
                <w:rFonts w:ascii="Arial" w:hAnsi="Arial"/>
                <w:rFonts w:ascii="Arial" w:hAnsi="Arial" w:eastAsia="Microsoft JhengHei"/>
                <w:sz w:val="19"/>
              </w:rPr>
              <w:t>GRI 414</w:t>
            </w:r>
          </w:p>
        </w:tc>
        <w:tc>
          <w:tcPr>
            <w:tcW w:type="dxa" w:w="3120"/>
          </w:tcPr>
          <w:p>
            <w:r>
              <w:rPr>
                <w:rFonts w:ascii="Arial" w:hAnsi="Arial"/>
                <w:rFonts w:ascii="Arial" w:hAnsi="Arial" w:eastAsia="Microsoft JhengHei"/>
                <w:sz w:val="19"/>
              </w:rPr>
              <w:t>依社會標準篩選之新供應商與社會稽核</w:t>
            </w:r>
          </w:p>
        </w:tc>
        <w:tc>
          <w:tcPr>
            <w:tcW w:type="dxa" w:w="3120"/>
          </w:tcPr>
          <w:p>
            <w:r>
              <w:rPr>
                <w:rFonts w:ascii="Arial" w:hAnsi="Arial"/>
                <w:rFonts w:ascii="Arial" w:hAnsi="Arial" w:eastAsia="Microsoft JhengHei"/>
                <w:sz w:val="19"/>
              </w:rPr>
              <w:t>詳見本報告書【GRI 414】專章，落實智慧切片資訊揭露。</w:t>
            </w:r>
          </w:p>
        </w:tc>
      </w:tr>
      <w:tr>
        <w:tc>
          <w:tcPr>
            <w:tcW w:type="dxa" w:w="3120"/>
          </w:tcPr>
          <w:p>
            <w:r>
              <w:rPr>
                <w:rFonts w:ascii="Arial" w:hAnsi="Arial"/>
                <w:rFonts w:ascii="Arial" w:hAnsi="Arial" w:eastAsia="Microsoft JhengHei"/>
                <w:sz w:val="19"/>
              </w:rPr>
              <w:t>GRI 414</w:t>
            </w:r>
          </w:p>
        </w:tc>
        <w:tc>
          <w:tcPr>
            <w:tcW w:type="dxa" w:w="3120"/>
          </w:tcPr>
          <w:p>
            <w:r>
              <w:rPr>
                <w:rFonts w:ascii="Arial" w:hAnsi="Arial"/>
                <w:rFonts w:ascii="Arial" w:hAnsi="Arial" w:eastAsia="Microsoft JhengHei"/>
                <w:sz w:val="19"/>
              </w:rPr>
              <w:t>供應商社會風險與人權合規稽核</w:t>
            </w:r>
          </w:p>
        </w:tc>
        <w:tc>
          <w:tcPr>
            <w:tcW w:type="dxa" w:w="3120"/>
          </w:tcPr>
          <w:p>
            <w:r>
              <w:rPr>
                <w:rFonts w:ascii="Arial" w:hAnsi="Arial"/>
                <w:rFonts w:ascii="Arial" w:hAnsi="Arial" w:eastAsia="Microsoft JhengHei"/>
                <w:sz w:val="19"/>
              </w:rPr>
              <w:t>詳見本報告書【GRI 414】專章，落實智慧切片資訊揭露。</w:t>
            </w:r>
          </w:p>
        </w:tc>
      </w:tr>
      <w:tr>
        <w:tc>
          <w:tcPr>
            <w:tcW w:type="dxa" w:w="3120"/>
          </w:tcPr>
          <w:p>
            <w:r>
              <w:rPr>
                <w:rFonts w:ascii="Arial" w:hAnsi="Arial"/>
                <w:rFonts w:ascii="Arial" w:hAnsi="Arial" w:eastAsia="Microsoft JhengHei"/>
                <w:sz w:val="19"/>
              </w:rPr>
              <w:t>GRI 415</w:t>
            </w:r>
          </w:p>
        </w:tc>
        <w:tc>
          <w:tcPr>
            <w:tcW w:type="dxa" w:w="3120"/>
          </w:tcPr>
          <w:p>
            <w:r>
              <w:rPr>
                <w:rFonts w:ascii="Arial" w:hAnsi="Arial"/>
                <w:rFonts w:ascii="Arial" w:hAnsi="Arial" w:eastAsia="Microsoft JhengHei"/>
                <w:sz w:val="19"/>
              </w:rPr>
              <w:t>公共政策參與及政治捐獻合規性宣告</w:t>
            </w:r>
          </w:p>
        </w:tc>
        <w:tc>
          <w:tcPr>
            <w:tcW w:type="dxa" w:w="3120"/>
          </w:tcPr>
          <w:p>
            <w:r>
              <w:rPr>
                <w:rFonts w:ascii="Arial" w:hAnsi="Arial"/>
                <w:rFonts w:ascii="Arial" w:hAnsi="Arial" w:eastAsia="Microsoft JhengHei"/>
                <w:sz w:val="19"/>
              </w:rPr>
              <w:t>詳見本報告書【GRI 415】專章，落實智慧切片資訊揭露。</w:t>
            </w:r>
          </w:p>
        </w:tc>
      </w:tr>
      <w:tr>
        <w:tc>
          <w:tcPr>
            <w:tcW w:type="dxa" w:w="3120"/>
          </w:tcPr>
          <w:p>
            <w:r>
              <w:rPr>
                <w:rFonts w:ascii="Arial" w:hAnsi="Arial"/>
                <w:rFonts w:ascii="Arial" w:hAnsi="Arial" w:eastAsia="Microsoft JhengHei"/>
                <w:sz w:val="19"/>
              </w:rPr>
              <w:t>GRI 415</w:t>
            </w:r>
          </w:p>
        </w:tc>
        <w:tc>
          <w:tcPr>
            <w:tcW w:type="dxa" w:w="3120"/>
          </w:tcPr>
          <w:p>
            <w:r>
              <w:rPr>
                <w:rFonts w:ascii="Arial" w:hAnsi="Arial"/>
                <w:rFonts w:ascii="Arial" w:hAnsi="Arial" w:eastAsia="Microsoft JhengHei"/>
                <w:sz w:val="19"/>
              </w:rPr>
              <w:t>永續產業倡議合作與合規性稽核</w:t>
            </w:r>
          </w:p>
        </w:tc>
        <w:tc>
          <w:tcPr>
            <w:tcW w:type="dxa" w:w="3120"/>
          </w:tcPr>
          <w:p>
            <w:r>
              <w:rPr>
                <w:rFonts w:ascii="Arial" w:hAnsi="Arial"/>
                <w:rFonts w:ascii="Arial" w:hAnsi="Arial" w:eastAsia="Microsoft JhengHei"/>
                <w:sz w:val="19"/>
              </w:rPr>
              <w:t>詳見本報告書【GRI 415】專章，落實智慧切片資訊揭露。</w:t>
            </w:r>
          </w:p>
        </w:tc>
      </w:tr>
      <w:tr>
        <w:tc>
          <w:tcPr>
            <w:tcW w:type="dxa" w:w="3120"/>
          </w:tcPr>
          <w:p>
            <w:r>
              <w:rPr>
                <w:rFonts w:ascii="Arial" w:hAnsi="Arial"/>
                <w:rFonts w:ascii="Arial" w:hAnsi="Arial" w:eastAsia="Microsoft JhengHei"/>
                <w:sz w:val="19"/>
              </w:rPr>
              <w:t>GRI 416</w:t>
            </w:r>
          </w:p>
        </w:tc>
        <w:tc>
          <w:tcPr>
            <w:tcW w:type="dxa" w:w="3120"/>
          </w:tcPr>
          <w:p>
            <w:r>
              <w:rPr>
                <w:rFonts w:ascii="Arial" w:hAnsi="Arial"/>
                <w:rFonts w:ascii="Arial" w:hAnsi="Arial" w:eastAsia="Microsoft JhengHei"/>
                <w:sz w:val="19"/>
              </w:rPr>
              <w:t>產品與服務之健康與安全衝擊評估</w:t>
            </w:r>
          </w:p>
        </w:tc>
        <w:tc>
          <w:tcPr>
            <w:tcW w:type="dxa" w:w="3120"/>
          </w:tcPr>
          <w:p>
            <w:r>
              <w:rPr>
                <w:rFonts w:ascii="Arial" w:hAnsi="Arial"/>
                <w:rFonts w:ascii="Arial" w:hAnsi="Arial" w:eastAsia="Microsoft JhengHei"/>
                <w:sz w:val="19"/>
              </w:rPr>
              <w:t>詳見本報告書【GRI 416】專章，落實智慧切片資訊揭露。</w:t>
            </w:r>
          </w:p>
        </w:tc>
      </w:tr>
      <w:tr>
        <w:tc>
          <w:tcPr>
            <w:tcW w:type="dxa" w:w="3120"/>
          </w:tcPr>
          <w:p>
            <w:r>
              <w:rPr>
                <w:rFonts w:ascii="Arial" w:hAnsi="Arial"/>
                <w:rFonts w:ascii="Arial" w:hAnsi="Arial" w:eastAsia="Microsoft JhengHei"/>
                <w:sz w:val="19"/>
              </w:rPr>
              <w:t>GRI 416</w:t>
            </w:r>
          </w:p>
        </w:tc>
        <w:tc>
          <w:tcPr>
            <w:tcW w:type="dxa" w:w="3120"/>
          </w:tcPr>
          <w:p>
            <w:r>
              <w:rPr>
                <w:rFonts w:ascii="Arial" w:hAnsi="Arial"/>
                <w:rFonts w:ascii="Arial" w:hAnsi="Arial" w:eastAsia="Microsoft JhengHei"/>
                <w:sz w:val="19"/>
              </w:rPr>
              <w:t>產品生命週期安全監控與責任保險</w:t>
            </w:r>
          </w:p>
        </w:tc>
        <w:tc>
          <w:tcPr>
            <w:tcW w:type="dxa" w:w="3120"/>
          </w:tcPr>
          <w:p>
            <w:r>
              <w:rPr>
                <w:rFonts w:ascii="Arial" w:hAnsi="Arial"/>
                <w:rFonts w:ascii="Arial" w:hAnsi="Arial" w:eastAsia="Microsoft JhengHei"/>
                <w:sz w:val="19"/>
              </w:rPr>
              <w:t>詳見本報告書【GRI 416】專章，落實智慧切片資訊揭露。</w:t>
            </w:r>
          </w:p>
        </w:tc>
      </w:tr>
      <w:tr>
        <w:tc>
          <w:tcPr>
            <w:tcW w:type="dxa" w:w="3120"/>
          </w:tcPr>
          <w:p>
            <w:r>
              <w:rPr>
                <w:rFonts w:ascii="Arial" w:hAnsi="Arial"/>
                <w:rFonts w:ascii="Arial" w:hAnsi="Arial" w:eastAsia="Microsoft JhengHei"/>
                <w:sz w:val="19"/>
              </w:rPr>
              <w:t>GRI 417</w:t>
            </w:r>
          </w:p>
        </w:tc>
        <w:tc>
          <w:tcPr>
            <w:tcW w:type="dxa" w:w="3120"/>
          </w:tcPr>
          <w:p>
            <w:r>
              <w:rPr>
                <w:rFonts w:ascii="Arial" w:hAnsi="Arial"/>
                <w:rFonts w:ascii="Arial" w:hAnsi="Arial" w:eastAsia="Microsoft JhengHei"/>
                <w:sz w:val="19"/>
              </w:rPr>
              <w:t>產品服務資訊與標示規範遵循與資訊透明</w:t>
            </w:r>
          </w:p>
        </w:tc>
        <w:tc>
          <w:tcPr>
            <w:tcW w:type="dxa" w:w="3120"/>
          </w:tcPr>
          <w:p>
            <w:r>
              <w:rPr>
                <w:rFonts w:ascii="Arial" w:hAnsi="Arial"/>
                <w:rFonts w:ascii="Arial" w:hAnsi="Arial" w:eastAsia="Microsoft JhengHei"/>
                <w:sz w:val="19"/>
              </w:rPr>
              <w:t>詳見本報告書【GRI 417】專章，落實智慧切片資訊揭露。</w:t>
            </w:r>
          </w:p>
        </w:tc>
      </w:tr>
      <w:tr>
        <w:tc>
          <w:tcPr>
            <w:tcW w:type="dxa" w:w="3120"/>
          </w:tcPr>
          <w:p>
            <w:r>
              <w:rPr>
                <w:rFonts w:ascii="Arial" w:hAnsi="Arial"/>
                <w:rFonts w:ascii="Arial" w:hAnsi="Arial" w:eastAsia="Microsoft JhengHei"/>
                <w:sz w:val="19"/>
              </w:rPr>
              <w:t>GRI 417</w:t>
            </w:r>
          </w:p>
        </w:tc>
        <w:tc>
          <w:tcPr>
            <w:tcW w:type="dxa" w:w="3120"/>
          </w:tcPr>
          <w:p>
            <w:r>
              <w:rPr>
                <w:rFonts w:ascii="Arial" w:hAnsi="Arial"/>
                <w:rFonts w:ascii="Arial" w:hAnsi="Arial" w:eastAsia="Microsoft JhengHei"/>
                <w:sz w:val="19"/>
              </w:rPr>
              <w:t>產品行銷與宣傳活動法律合規性</w:t>
            </w:r>
          </w:p>
        </w:tc>
        <w:tc>
          <w:tcPr>
            <w:tcW w:type="dxa" w:w="3120"/>
          </w:tcPr>
          <w:p>
            <w:r>
              <w:rPr>
                <w:rFonts w:ascii="Arial" w:hAnsi="Arial"/>
                <w:rFonts w:ascii="Arial" w:hAnsi="Arial" w:eastAsia="Microsoft JhengHei"/>
                <w:sz w:val="19"/>
              </w:rPr>
              <w:t>詳見本報告書【GRI 417】專章，落實智慧切片資訊揭露。</w:t>
            </w:r>
          </w:p>
        </w:tc>
      </w:tr>
      <w:tr>
        <w:tc>
          <w:tcPr>
            <w:tcW w:type="dxa" w:w="3120"/>
          </w:tcPr>
          <w:p>
            <w:r>
              <w:rPr>
                <w:rFonts w:ascii="Arial" w:hAnsi="Arial"/>
                <w:rFonts w:ascii="Arial" w:hAnsi="Arial" w:eastAsia="Microsoft JhengHei"/>
                <w:sz w:val="19"/>
              </w:rPr>
              <w:t>GRI 418</w:t>
            </w:r>
          </w:p>
        </w:tc>
        <w:tc>
          <w:tcPr>
            <w:tcW w:type="dxa" w:w="3120"/>
          </w:tcPr>
          <w:p>
            <w:r>
              <w:rPr>
                <w:rFonts w:ascii="Arial" w:hAnsi="Arial"/>
                <w:rFonts w:ascii="Arial" w:hAnsi="Arial" w:eastAsia="Microsoft JhengHei"/>
                <w:sz w:val="19"/>
              </w:rPr>
              <w:t>侵犯客戶隱私與遺失資料事件統計與防護</w:t>
            </w:r>
          </w:p>
        </w:tc>
        <w:tc>
          <w:tcPr>
            <w:tcW w:type="dxa" w:w="3120"/>
          </w:tcPr>
          <w:p>
            <w:r>
              <w:rPr>
                <w:rFonts w:ascii="Arial" w:hAnsi="Arial"/>
                <w:rFonts w:ascii="Arial" w:hAnsi="Arial" w:eastAsia="Microsoft JhengHei"/>
                <w:sz w:val="19"/>
              </w:rPr>
              <w:t>詳見本報告書【GRI 418】專章，落實智慧切片資訊揭露。</w:t>
            </w:r>
          </w:p>
        </w:tc>
      </w:tr>
      <w:tr>
        <w:tc>
          <w:tcPr>
            <w:tcW w:type="dxa" w:w="3120"/>
          </w:tcPr>
          <w:p>
            <w:r>
              <w:rPr>
                <w:rFonts w:ascii="Arial" w:hAnsi="Arial"/>
                <w:rFonts w:ascii="Arial" w:hAnsi="Arial" w:eastAsia="Microsoft JhengHei"/>
                <w:sz w:val="19"/>
              </w:rPr>
              <w:t>GRI 418</w:t>
            </w:r>
          </w:p>
        </w:tc>
        <w:tc>
          <w:tcPr>
            <w:tcW w:type="dxa" w:w="3120"/>
          </w:tcPr>
          <w:p>
            <w:r>
              <w:rPr>
                <w:rFonts w:ascii="Arial" w:hAnsi="Arial"/>
                <w:rFonts w:ascii="Arial" w:hAnsi="Arial" w:eastAsia="Microsoft JhengHei"/>
                <w:sz w:val="19"/>
              </w:rPr>
              <w:t>資訊安全防護體系與客戶隱私機制</w:t>
            </w:r>
          </w:p>
        </w:tc>
        <w:tc>
          <w:tcPr>
            <w:tcW w:type="dxa" w:w="3120"/>
          </w:tcPr>
          <w:p>
            <w:r>
              <w:rPr>
                <w:rFonts w:ascii="Arial" w:hAnsi="Arial"/>
                <w:rFonts w:ascii="Arial" w:hAnsi="Arial" w:eastAsia="Microsoft JhengHei"/>
                <w:sz w:val="19"/>
              </w:rPr>
              <w:t>詳見本報告書【GRI 418】專章，落實智慧切片資訊揭露。</w:t>
            </w:r>
          </w:p>
        </w:tc>
      </w:tr>
    </w:tbl>
    <w:p>
      <w:r>
        <w:br w:type="page"/>
      </w:r>
    </w:p>
    <w:p>
      <w:pPr>
        <w:keepNext/>
        <w:spacing w:before="360" w:after="160"/>
      </w:pPr>
      <w:r>
        <w:rPr>
          <w:rFonts w:ascii="Arial" w:hAnsi="Arial"/>
          <w:rFonts w:ascii="Arial" w:hAnsi="Arial" w:eastAsia="Microsoft JhengHei"/>
          <w:b/>
          <w:color w:val="2E7D32"/>
          <w:sz w:val="36"/>
        </w:rPr>
        <w:t>附錄二、 AA1000 Third-Party Assurance 第三方查證意見書正式聲明</w:t>
      </w:r>
    </w:p>
    <w:p>
      <w:pPr>
        <w:spacing w:line="312" w:lineRule="auto" w:after="160"/>
        <w:jc w:val="both"/>
      </w:pPr>
      <w:r>
        <w:rPr>
          <w:rFonts w:ascii="Arial" w:hAnsi="Arial"/>
          <w:rFonts w:ascii="Arial" w:hAnsi="Arial" w:eastAsia="Microsoft JhengHei"/>
          <w:color w:val="212121"/>
          <w:sz w:val="22"/>
        </w:rPr>
        <w:t>為了確保本報告書揭露數據之公信力與透明度，星光電子製造廠 委託國際第三方驗證機構進行獨立合規性查證。本意見書基於 AA1000 審查標準進行確信評估，其正式聲明與驗證結論如下頁所示：</w:t>
      </w:r>
    </w:p>
    <w:p>
      <w:r>
        <w:br w:type="page"/>
      </w:r>
    </w:p>
    <w:tbl>
      <w:tblPr>
        <w:tblW w:type="auto" w:w="0"/>
        <w:jc w:val="center"/>
        <w:tblLook w:firstColumn="1" w:firstRow="1" w:lastColumn="0" w:lastRow="0" w:noHBand="0" w:noVBand="1" w:val="04A0"/>
      </w:tblPr>
      <w:tblGrid>
        <w:gridCol w:w="8352"/>
      </w:tblGrid>
      <w:tr>
        <w:trPr>
          <w:trHeight w:val="10080"/>
        </w:trPr>
        <w:tc>
          <w:tcPr>
            <w:tcW w:type="dxa" w:w="9360"/>
            <w:shd w:val="clear" w:color="auto" w:fill="F9FAF9"/>
            <w:tcBorders>
              <w:top w:val="double" w:sz="18" w:space="0" w:color="2E7D32"/>
              <w:left w:val="double" w:sz="18" w:space="0" w:color="2E7D32"/>
              <w:bottom w:val="double" w:sz="18" w:space="0" w:color="2E7D32"/>
              <w:right w:val="double" w:sz="18" w:space="0" w:color="2E7D32"/>
            </w:tcBorders>
          </w:tcPr>
          <w:p>
            <w:pPr>
              <w:spacing w:before="3200"/>
              <w:jc w:val="center"/>
            </w:pPr>
            <w:r>
              <w:rPr>
                <w:rFonts w:ascii="Arial" w:hAnsi="Arial"/>
                <w:b/>
                <w:color w:val="2E7D32"/>
                <w:sz w:val="28"/>
                <w:rFonts w:ascii="Arial" w:hAnsi="Arial" w:eastAsia="Microsoft JhengHei"/>
              </w:rPr>
              <w:t>【系統自動安全嵌入：AA1000 Third-Party Assurance 第三方查證意見書正式聲明 實體彩色掃描存檔】</w:t>
              <w:br/>
              <w:br/>
            </w:r>
          </w:p>
          <w:p>
            <w:pPr>
              <w:spacing w:after="400"/>
              <w:jc w:val="center"/>
            </w:pPr>
            <w:r>
              <w:rPr>
                <w:rFonts w:ascii="Arial" w:hAnsi="Arial"/>
                <w:i/>
                <w:color w:val="787878"/>
                <w:sz w:val="20"/>
                <w:rFonts w:ascii="Arial" w:hAnsi="Arial" w:eastAsia="Microsoft JhengHei"/>
              </w:rPr>
              <w:t>本頁面為企業永續報告書之國際標準認證掃描存檔與第三方獨立聲明專用頁。</w:t>
              <w:br/>
              <w:t>相關證書已通過內部 ESG 永續管理小組及外部審計確信審核，並以高解析度彩色掃描檔安全備查。</w:t>
              <w:br/>
              <w:t>文件合規驗證碼：SEC-VERIFY-2025-A1000-OK</w:t>
            </w:r>
          </w:p>
        </w:tc>
      </w:tr>
    </w:tbl>
    <w:p>
      <w:pPr>
        <w:spacing w:after="400"/>
      </w:pPr>
    </w:p>
    <w:p>
      <w:r>
        <w:br w:type="page"/>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rFonts w:ascii="Arial" w:hAnsi="Arial" w:eastAsia="Microsoft JhengHei"/>
        <w:color w:val="808080"/>
        <w:sz w:val="18"/>
      </w:rPr>
      <w:t xml:space="preserve">本報告書通過內控合規與資訊安全確信  |  頁 </w:t>
    </w:r>
    <w:r>
      <w:rPr>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rFonts w:ascii="Arial" w:hAnsi="Arial" w:eastAsia="Microsoft JhengHei"/>
        <w:color w:val="808080"/>
        <w:sz w:val="18"/>
      </w:rPr>
      <w:t>🌱 星光電子製造廠 | 2025 年度企業永續發展報告書 (正式核定版)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