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jc w:val="center"/>
      </w:pPr>
      <w:r>
        <w:rPr>
          <w:rFonts w:ascii="Arial" w:hAnsi="Arial"/>
          <w:rFonts w:ascii="Arial" w:hAnsi="Arial" w:eastAsia="Microsoft JhengHei"/>
          <w:b/>
          <w:color w:val="2E7D32"/>
          <w:sz w:val="56"/>
        </w:rPr>
        <w:t>星光電子製造廠</w:t>
        <w:br/>
        <w:br/>
        <w:t>2025 年度企業永續報告書草稿</w:t>
        <w:br/>
      </w:r>
    </w:p>
    <w:p>
      <w:pPr>
        <w:spacing w:after="3600"/>
        <w:jc w:val="center"/>
      </w:pPr>
      <w:r>
        <w:rPr>
          <w:rFonts w:ascii="Arial" w:hAnsi="Arial"/>
          <w:rFonts w:ascii="Arial" w:hAnsi="Arial" w:eastAsia="Microsoft JhengHei"/>
          <w:i/>
          <w:color w:val="1565C0"/>
          <w:sz w:val="26"/>
        </w:rPr>
        <w:t>GRI 永續性報導準則 (GRI Standards) 合規報告書初稿</w:t>
      </w:r>
    </w:p>
    <w:p>
      <w:pPr>
        <w:spacing w:line="360" w:lineRule="auto"/>
        <w:jc w:val="center"/>
      </w:pPr>
      <w:r>
        <w:rPr>
          <w:rFonts w:ascii="Arial" w:hAnsi="Arial"/>
          <w:rFonts w:ascii="Arial" w:hAnsi="Arial" w:eastAsia="Microsoft JhengHei"/>
          <w:color w:val="5A5A5A"/>
          <w:sz w:val="21"/>
        </w:rPr>
        <w:t>報告年度：2025 年度</w:t>
        <w:br/>
        <w:t>報導核心：GRI 305 排放、GRI 404 培訓與教育</w:t>
        <w:br/>
        <w:t>製表單位：ESG 企業永續發展小組</w:t>
        <w:br/>
        <w:t>發布時間：地端 AI 自動生成系統自動輸出</w:t>
        <w:br/>
      </w:r>
    </w:p>
    <w:p>
      <w:r>
        <w:br w:type="page"/>
      </w:r>
    </w:p>
    <w:p>
      <w:pPr>
        <w:keepNext/>
        <w:spacing w:before="360" w:after="160"/>
      </w:pPr>
      <w:r>
        <w:rPr>
          <w:rFonts w:ascii="Arial" w:hAnsi="Arial"/>
          <w:rFonts w:ascii="Arial" w:hAnsi="Arial" w:eastAsia="Microsoft JhengHei"/>
          <w:b/>
          <w:color w:val="2E7D32"/>
          <w:sz w:val="36"/>
        </w:rPr>
        <w:t>目錄 (Table of Contents)</w:t>
      </w:r>
    </w:p>
    <w:p>
      <w:pPr>
        <w:spacing w:line="384" w:lineRule="auto"/>
      </w:pPr>
      <w:r>
        <w:rPr>
          <w:rFonts w:ascii="Arial" w:hAnsi="Arial"/>
          <w:rFonts w:ascii="Arial" w:hAnsi="Arial" w:eastAsia="Microsoft JhengHei"/>
          <w:color w:val="212121"/>
          <w:sz w:val="22"/>
        </w:rPr>
        <w:t>一、 董事長致詞 ................................................................................................ 3</w:t>
        <w:br/>
        <w:t>二、 關於本報告書 ............................................................................................. 4</w:t>
        <w:br/>
        <w:t>三、 GRI 305：溫室氣體排放量揭露 (Environmental) ..................................................... 5</w:t>
        <w:br/>
        <w:t xml:space="preserve">     3.1.1 範疇一（直接溫室氣體排放）來源與數據深度解讀 ............................................ 5</w:t>
        <w:br/>
        <w:t xml:space="preserve">     3.1.2 範疇二（能源間接溫室氣體排放）外購電力分析與減量路徑 ................................. 5</w:t>
        <w:br/>
        <w:t xml:space="preserve">     3.1.3 年度排放變動率（YoY）與減量成效評估 ......................................................... 6</w:t>
        <w:br/>
        <w:t>四、 GRI 404：培訓與教育 (Social) ............................................................................ 7</w:t>
        <w:br/>
        <w:t xml:space="preserve">     4.1.1 員工平均培訓時數結構分析（依職級與性別） .................................................. 7</w:t>
        <w:br/>
        <w:t xml:space="preserve">     4.1.2 員工技能提升與過渡協助計畫執行效益 ............................................................ 7</w:t>
        <w:br/>
        <w:t xml:space="preserve">     4.1.3 組織人才穩定度與流動率指標解讀 .................................................................. 8</w:t>
        <w:br/>
        <w:t>附錄、 GRI 揭露指標索引對照表 .............................................................................. 9</w:t>
        <w:br/>
      </w:r>
    </w:p>
    <w:p>
      <w:r>
        <w:br w:type="page"/>
      </w:r>
    </w:p>
    <w:p>
      <w:pPr>
        <w:keepNext/>
        <w:spacing w:before="360" w:after="160"/>
      </w:pPr>
      <w:r>
        <w:rPr>
          <w:rFonts w:ascii="Arial" w:hAnsi="Arial"/>
          <w:rFonts w:ascii="Arial" w:hAnsi="Arial" w:eastAsia="Microsoft JhengHei"/>
          <w:b/>
          <w:color w:val="2E7D32"/>
          <w:sz w:val="36"/>
        </w:rPr>
        <w:t>一、 董事長致詞</w:t>
      </w:r>
    </w:p>
    <w:p>
      <w:pPr>
        <w:spacing w:line="312" w:lineRule="auto" w:after="160"/>
        <w:jc w:val="both"/>
      </w:pPr>
      <w:r>
        <w:rPr>
          <w:rFonts w:ascii="Arial" w:hAnsi="Arial"/>
          <w:rFonts w:ascii="Arial" w:hAnsi="Arial" w:eastAsia="Microsoft JhengHei"/>
          <w:color w:val="212121"/>
          <w:sz w:val="22"/>
        </w:rPr>
        <w:t>各位夥伴與關心本公司的持份者：</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在過去的一年中，全球面臨氣候變遷帶來的嚴峻挑戰，ESG 永續發展已不僅是企業的社會責任，更攸關企業在市場中的生存韌性。 在 2025 年度，本公司持續優化內部治理體系，以綠色製造與人本發展為核心雙軸。 本報告書詳實揭露了我們在溫室氣體減排 (GRI 305) 以及員工職涯培訓與教育 (GRI 404) 的具體實踐成果。 我們深信，透過落實低碳製程與優質的人才教育計畫，我們將引領企業航向永續淨零的綠色未來。</w:t>
      </w:r>
    </w:p>
    <w:p>
      <w:r>
        <w:br w:type="page"/>
      </w:r>
    </w:p>
    <w:p>
      <w:pPr>
        <w:keepNext/>
        <w:spacing w:before="360" w:after="160"/>
      </w:pPr>
      <w:r>
        <w:rPr>
          <w:rFonts w:ascii="Arial" w:hAnsi="Arial"/>
          <w:rFonts w:ascii="Arial" w:hAnsi="Arial" w:eastAsia="Microsoft JhengHei"/>
          <w:b/>
          <w:color w:val="2E7D32"/>
          <w:sz w:val="36"/>
        </w:rPr>
        <w:t>二、 關於本報告書</w:t>
      </w:r>
    </w:p>
    <w:p>
      <w:pPr>
        <w:spacing w:line="312" w:lineRule="auto" w:after="160"/>
        <w:jc w:val="both"/>
      </w:pPr>
      <w:r>
        <w:rPr>
          <w:rFonts w:ascii="Arial" w:hAnsi="Arial"/>
          <w:rFonts w:ascii="Arial" w:hAnsi="Arial" w:eastAsia="Microsoft JhengHei"/>
          <w:color w:val="212121"/>
          <w:sz w:val="22"/>
        </w:rPr>
        <w:t>本報告書為 星光電子製造廠 發布之年度企業永續報告書，揭露期間為西元 2025 年 1 月 1 日至 12 月 31 日止之永續績效。 本報告書依循全球永續性標準理事會 (GSSB) 發布之 GRI 永續報導準則 (GRI Standards) 進行編撰，重點揭露環境面向之排放 (GRI 305) 及社會面向之培訓與教育 (GRI 404) 指標。 本報告書所包含之財務與非財務數據，皆經由內部跨部門小組進行收集、清洗與確信審核，並以地端 AI 安全防護生成核心質化內文。 未來本報告書將維持每年定期發布，以向社會大眾展示本公司實踐永續發展之堅定承諾。</w:t>
      </w:r>
    </w:p>
    <w:p>
      <w:r>
        <w:br w:type="page"/>
      </w:r>
    </w:p>
    <w:p>
      <w:pPr>
        <w:keepNext/>
        <w:spacing w:before="360" w:after="160"/>
      </w:pPr>
      <w:r>
        <w:rPr>
          <w:rFonts w:ascii="Arial" w:hAnsi="Arial"/>
          <w:rFonts w:ascii="Arial" w:hAnsi="Arial" w:eastAsia="Microsoft JhengHei"/>
          <w:b/>
          <w:color w:val="2E7D32"/>
          <w:sz w:val="36"/>
        </w:rPr>
        <w:t>三、 GRI 305：溫室氣體排放量揭露</w:t>
      </w:r>
    </w:p>
    <w:p>
      <w:pPr>
        <w:keepNext/>
        <w:spacing w:before="280" w:after="120"/>
      </w:pPr>
      <w:r>
        <w:rPr>
          <w:rFonts w:ascii="Arial" w:hAnsi="Arial"/>
          <w:rFonts w:ascii="Arial" w:hAnsi="Arial" w:eastAsia="Microsoft JhengHei"/>
          <w:b/>
          <w:color w:val="1565C0"/>
          <w:sz w:val="28"/>
        </w:rPr>
        <w:t>3.1.1 範疇一（直接溫室氣體排放）來源與數據深度解讀</w:t>
      </w:r>
    </w:p>
    <w:p>
      <w:pPr>
        <w:spacing w:line="312" w:lineRule="auto" w:after="160"/>
        <w:jc w:val="both"/>
      </w:pPr>
      <w:r>
        <w:rPr>
          <w:rFonts w:ascii="Arial" w:hAnsi="Arial"/>
          <w:rFonts w:ascii="Arial" w:hAnsi="Arial" w:eastAsia="Microsoft JhengHei"/>
          <w:color w:val="212121"/>
          <w:sz w:val="22"/>
        </w:rPr>
        <w:t>星光電子製造廠2025年度溫室氣體排放報告書</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3.1.1 範疇一（直接溫室氣體排放）來源與數據深度解讀</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在星光電子製造廠2025年度，公司的直接溫室氣體排放總計為195.7千噸CO2等值。這個數字主要來自於柴油發電機和冷媒逸散兩大來源。</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柴油發電機排放了150.5千噸CO2等值，占總計的76.6%。這些排放是由於生產過程中使用的柴油發電機所產生的溫室氣體排放。公司為了控制這些排放，實施了一系列措施，如維護柴油發電機的正常運行、進行定期檢查和保養，以減少溫室氣體排放。</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冷媒逸散排放了45.2千噸CO2等值，占總計的23.1%。這些排放是由於生產過程中使用的冷媒所產生的溫室氣體排放。公司為了控制這些排放，實施了一系列措施，如設置溫室氣體監測系統、進行定期檢查和保養，以減少溫室氣體排放。</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總計，星光電子製造廠2025年度的直接溫室氣體排放總計為195.7千噅CO2等值。</w:t>
      </w:r>
    </w:p>
    <w:p>
      <w:pPr>
        <w:keepNext/>
        <w:spacing w:before="280" w:after="120"/>
      </w:pPr>
      <w:r>
        <w:rPr>
          <w:rFonts w:ascii="Arial" w:hAnsi="Arial"/>
          <w:rFonts w:ascii="Arial" w:hAnsi="Arial" w:eastAsia="Microsoft JhengHei"/>
          <w:b/>
          <w:color w:val="1565C0"/>
          <w:sz w:val="28"/>
        </w:rPr>
        <w:t>3.1.2 範疇二（能源間接溫室氣體排放）外購電力分析與減碳路徑</w:t>
      </w:r>
    </w:p>
    <w:p>
      <w:pPr>
        <w:spacing w:line="312" w:lineRule="auto" w:after="160"/>
        <w:jc w:val="both"/>
      </w:pPr>
      <w:r>
        <w:rPr>
          <w:rFonts w:ascii="Arial" w:hAnsi="Arial"/>
          <w:rFonts w:ascii="Arial" w:hAnsi="Arial" w:eastAsia="Microsoft JhengHei"/>
          <w:color w:val="212121"/>
          <w:sz w:val="22"/>
        </w:rPr>
        <w:t>星光電子製造廠 2025 年企業永續報告書</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範疇二（能源間接溫室氣體排放）外購電力分析與減碳路徑</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根據星光電子製造廠 2025 年的環評數據，範疇二（能源間接溫室氣體排放）的主要來源為外購電力，占總溫室氣體排放的 94.2%。這項排放源的總量為 3250.8 萬噸 CO2 等效物質（tCO2e），是企業整體溫室氣體排放的 93.6%。</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星光電子製造廠將繼續推進綠電採購規劃，透過與供應商協議，選擇可再生能源為主要電力來源。同時，公司也會繼續推進廠區節能設備改造，以減少非必要的電力消耗。智慧能源管理系統的實施將有助於監控和優化企業的能源使用效率。</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在未來，星光電子製制造廠將繼續努力減少外購電力的溫室氣體排放量，並推進可再生能源使用，實現企業的環境承擔責任。</w:t>
      </w:r>
    </w:p>
    <w:p>
      <w:pPr>
        <w:keepNext/>
        <w:spacing w:before="280" w:after="120"/>
      </w:pPr>
      <w:r>
        <w:rPr>
          <w:rFonts w:ascii="Arial" w:hAnsi="Arial"/>
          <w:rFonts w:ascii="Arial" w:hAnsi="Arial" w:eastAsia="Microsoft JhengHei"/>
          <w:b/>
          <w:color w:val="1565C0"/>
          <w:sz w:val="28"/>
        </w:rPr>
        <w:t>3.1.2.2 溫室氣體排放細部數據表</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rFonts w:ascii="Arial" w:hAnsi="Arial" w:eastAsia="Microsoft JhengHei"/>
                <w:b/>
                <w:sz w:val="19"/>
                <w:rFonts w:ascii="Arial" w:hAnsi="Arial" w:eastAsia="Microsoft JhengHei"/>
              </w:rPr>
              <w:t>範疇別</w:t>
            </w:r>
          </w:p>
        </w:tc>
        <w:tc>
          <w:tcPr>
            <w:tcW w:type="dxa" w:w="2340"/>
          </w:tcPr>
          <w:p>
            <w:r>
              <w:rPr>
                <w:rFonts w:ascii="Arial" w:hAnsi="Arial"/>
                <w:rFonts w:ascii="Arial" w:hAnsi="Arial" w:eastAsia="Microsoft JhengHei"/>
                <w:b/>
                <w:sz w:val="19"/>
                <w:rFonts w:ascii="Arial" w:hAnsi="Arial" w:eastAsia="Microsoft JhengHei"/>
              </w:rPr>
              <w:t>排放源名稱</w:t>
            </w:r>
          </w:p>
        </w:tc>
        <w:tc>
          <w:tcPr>
            <w:tcW w:type="dxa" w:w="2340"/>
          </w:tcPr>
          <w:p>
            <w:r>
              <w:rPr>
                <w:rFonts w:ascii="Arial" w:hAnsi="Arial"/>
                <w:rFonts w:ascii="Arial" w:hAnsi="Arial" w:eastAsia="Microsoft JhengHei"/>
                <w:b/>
                <w:sz w:val="19"/>
                <w:rFonts w:ascii="Arial" w:hAnsi="Arial" w:eastAsia="Microsoft JhengHei"/>
              </w:rPr>
              <w:t>碳排放量 (公噸 CO2e)</w:t>
            </w:r>
          </w:p>
        </w:tc>
        <w:tc>
          <w:tcPr>
            <w:tcW w:type="dxa" w:w="2340"/>
          </w:tcPr>
          <w:p>
            <w:r>
              <w:rPr>
                <w:rFonts w:ascii="Arial" w:hAnsi="Arial"/>
                <w:rFonts w:ascii="Arial" w:hAnsi="Arial" w:eastAsia="Microsoft JhengHei"/>
                <w:b/>
                <w:sz w:val="19"/>
                <w:rFonts w:ascii="Arial" w:hAnsi="Arial" w:eastAsia="Microsoft JhengHei"/>
              </w:rPr>
              <w:t>百分比 (%)</w:t>
            </w:r>
          </w:p>
        </w:tc>
      </w:tr>
      <w:tr>
        <w:tc>
          <w:tcPr>
            <w:tcW w:type="dxa" w:w="2340"/>
          </w:tcPr>
          <w:p>
            <w:r>
              <w:rPr>
                <w:rFonts w:ascii="Arial" w:hAnsi="Arial"/>
                <w:rFonts w:ascii="Arial" w:hAnsi="Arial" w:eastAsia="Microsoft JhengHei"/>
                <w:sz w:val="19"/>
              </w:rPr>
              <w:t>範疇一 (直接)</w:t>
            </w:r>
          </w:p>
        </w:tc>
        <w:tc>
          <w:tcPr>
            <w:tcW w:type="dxa" w:w="2340"/>
          </w:tcPr>
          <w:p>
            <w:r>
              <w:rPr>
                <w:rFonts w:ascii="Arial" w:hAnsi="Arial"/>
                <w:rFonts w:ascii="Arial" w:hAnsi="Arial" w:eastAsia="Microsoft JhengHei"/>
                <w:sz w:val="19"/>
              </w:rPr>
              <w:t>柴油發電機</w:t>
            </w:r>
          </w:p>
        </w:tc>
        <w:tc>
          <w:tcPr>
            <w:tcW w:type="dxa" w:w="2340"/>
          </w:tcPr>
          <w:p>
            <w:r>
              <w:rPr>
                <w:rFonts w:ascii="Arial" w:hAnsi="Arial"/>
                <w:rFonts w:ascii="Arial" w:hAnsi="Arial" w:eastAsia="Microsoft JhengHei"/>
                <w:sz w:val="19"/>
              </w:rPr>
              <w:t>150.5</w:t>
            </w:r>
          </w:p>
        </w:tc>
        <w:tc>
          <w:tcPr>
            <w:tcW w:type="dxa" w:w="2340"/>
          </w:tcPr>
          <w:p>
            <w:r>
              <w:rPr>
                <w:rFonts w:ascii="Arial" w:hAnsi="Arial"/>
                <w:rFonts w:ascii="Arial" w:hAnsi="Arial" w:eastAsia="Microsoft JhengHei"/>
                <w:sz w:val="19"/>
              </w:rPr>
              <w:t>4.4%</w:t>
            </w:r>
          </w:p>
        </w:tc>
      </w:tr>
      <w:tr>
        <w:tc>
          <w:tcPr>
            <w:tcW w:type="dxa" w:w="2340"/>
          </w:tcPr>
          <w:p>
            <w:r>
              <w:rPr>
                <w:rFonts w:ascii="Arial" w:hAnsi="Arial"/>
                <w:rFonts w:ascii="Arial" w:hAnsi="Arial" w:eastAsia="Microsoft JhengHei"/>
                <w:sz w:val="19"/>
              </w:rPr>
              <w:t>範疇一 (直接)</w:t>
            </w:r>
          </w:p>
        </w:tc>
        <w:tc>
          <w:tcPr>
            <w:tcW w:type="dxa" w:w="2340"/>
          </w:tcPr>
          <w:p>
            <w:r>
              <w:rPr>
                <w:rFonts w:ascii="Arial" w:hAnsi="Arial"/>
                <w:rFonts w:ascii="Arial" w:hAnsi="Arial" w:eastAsia="Microsoft JhengHei"/>
                <w:sz w:val="19"/>
              </w:rPr>
              <w:t>冷媒逸散</w:t>
            </w:r>
          </w:p>
        </w:tc>
        <w:tc>
          <w:tcPr>
            <w:tcW w:type="dxa" w:w="2340"/>
          </w:tcPr>
          <w:p>
            <w:r>
              <w:rPr>
                <w:rFonts w:ascii="Arial" w:hAnsi="Arial"/>
                <w:rFonts w:ascii="Arial" w:hAnsi="Arial" w:eastAsia="Microsoft JhengHei"/>
                <w:sz w:val="19"/>
              </w:rPr>
              <w:t>45.2</w:t>
            </w:r>
          </w:p>
        </w:tc>
        <w:tc>
          <w:tcPr>
            <w:tcW w:type="dxa" w:w="2340"/>
          </w:tcPr>
          <w:p>
            <w:r>
              <w:rPr>
                <w:rFonts w:ascii="Arial" w:hAnsi="Arial"/>
                <w:rFonts w:ascii="Arial" w:hAnsi="Arial" w:eastAsia="Microsoft JhengHei"/>
                <w:sz w:val="19"/>
              </w:rPr>
              <w:t>1.3%</w:t>
            </w:r>
          </w:p>
        </w:tc>
      </w:tr>
      <w:tr>
        <w:tc>
          <w:tcPr>
            <w:tcW w:type="dxa" w:w="2340"/>
          </w:tcPr>
          <w:p>
            <w:r>
              <w:rPr>
                <w:rFonts w:ascii="Arial" w:hAnsi="Arial"/>
                <w:rFonts w:ascii="Arial" w:hAnsi="Arial" w:eastAsia="Microsoft JhengHei"/>
                <w:sz w:val="19"/>
              </w:rPr>
              <w:t>範疇二 (間接)</w:t>
            </w:r>
          </w:p>
        </w:tc>
        <w:tc>
          <w:tcPr>
            <w:tcW w:type="dxa" w:w="2340"/>
          </w:tcPr>
          <w:p>
            <w:r>
              <w:rPr>
                <w:rFonts w:ascii="Arial" w:hAnsi="Arial"/>
                <w:rFonts w:ascii="Arial" w:hAnsi="Arial" w:eastAsia="Microsoft JhengHei"/>
                <w:sz w:val="19"/>
              </w:rPr>
              <w:t>外購電力</w:t>
            </w:r>
          </w:p>
        </w:tc>
        <w:tc>
          <w:tcPr>
            <w:tcW w:type="dxa" w:w="2340"/>
          </w:tcPr>
          <w:p>
            <w:r>
              <w:rPr>
                <w:rFonts w:ascii="Arial" w:hAnsi="Arial"/>
                <w:rFonts w:ascii="Arial" w:hAnsi="Arial" w:eastAsia="Microsoft JhengHei"/>
                <w:sz w:val="19"/>
              </w:rPr>
              <w:t>3,250.8</w:t>
            </w:r>
          </w:p>
        </w:tc>
        <w:tc>
          <w:tcPr>
            <w:tcW w:type="dxa" w:w="2340"/>
          </w:tcPr>
          <w:p>
            <w:r>
              <w:rPr>
                <w:rFonts w:ascii="Arial" w:hAnsi="Arial"/>
                <w:rFonts w:ascii="Arial" w:hAnsi="Arial" w:eastAsia="Microsoft JhengHei"/>
                <w:sz w:val="19"/>
              </w:rPr>
              <w:t>94.3%</w:t>
            </w:r>
          </w:p>
        </w:tc>
      </w:tr>
      <w:tr>
        <w:tc>
          <w:tcPr>
            <w:tcW w:type="dxa" w:w="2340"/>
          </w:tcPr>
          <w:p>
            <w:r>
              <w:rPr>
                <w:rFonts w:ascii="Arial" w:hAnsi="Arial"/>
                <w:rFonts w:ascii="Arial" w:hAnsi="Arial" w:eastAsia="Microsoft JhengHei"/>
                <w:sz w:val="19"/>
              </w:rPr>
              <w:t>範疇一與範疇二總計</w:t>
            </w:r>
          </w:p>
        </w:tc>
        <w:tc>
          <w:tcPr>
            <w:tcW w:type="dxa" w:w="2340"/>
          </w:tcPr>
          <w:p>
            <w:r>
              <w:rPr>
                <w:rFonts w:ascii="Arial" w:hAnsi="Arial"/>
                <w:rFonts w:ascii="Arial" w:hAnsi="Arial" w:eastAsia="Microsoft JhengHei"/>
                <w:sz w:val="19"/>
              </w:rPr>
              <w:t>所有排放源</w:t>
            </w:r>
          </w:p>
        </w:tc>
        <w:tc>
          <w:tcPr>
            <w:tcW w:type="dxa" w:w="2340"/>
          </w:tcPr>
          <w:p>
            <w:r>
              <w:rPr>
                <w:rFonts w:ascii="Arial" w:hAnsi="Arial"/>
                <w:rFonts w:ascii="Arial" w:hAnsi="Arial" w:eastAsia="Microsoft JhengHei"/>
                <w:sz w:val="19"/>
              </w:rPr>
              <w:t>3,446.5</w:t>
            </w:r>
          </w:p>
        </w:tc>
        <w:tc>
          <w:tcPr>
            <w:tcW w:type="dxa" w:w="2340"/>
          </w:tcPr>
          <w:p>
            <w:r>
              <w:rPr>
                <w:rFonts w:ascii="Arial" w:hAnsi="Arial"/>
                <w:rFonts w:ascii="Arial" w:hAnsi="Arial" w:eastAsia="Microsoft JhengHei"/>
                <w:sz w:val="19"/>
              </w:rPr>
              <w:t>100.0%</w:t>
            </w:r>
          </w:p>
        </w:tc>
      </w:tr>
    </w:tbl>
    <w:p>
      <w:pPr>
        <w:spacing w:before="200"/>
      </w:pPr>
    </w:p>
    <w:p>
      <w:r>
        <w:br w:type="page"/>
      </w:r>
    </w:p>
    <w:p>
      <w:pPr>
        <w:keepNext/>
        <w:spacing w:before="280" w:after="120"/>
      </w:pPr>
      <w:r>
        <w:rPr>
          <w:rFonts w:ascii="Arial" w:hAnsi="Arial"/>
          <w:rFonts w:ascii="Arial" w:hAnsi="Arial" w:eastAsia="Microsoft JhengHei"/>
          <w:b/>
          <w:color w:val="1565C0"/>
          <w:sz w:val="28"/>
        </w:rPr>
        <w:t>3.1.3 年度排放變動率（YoY）與減量成效評估</w:t>
      </w:r>
    </w:p>
    <w:p>
      <w:pPr>
        <w:spacing w:line="312" w:lineRule="auto" w:after="160"/>
        <w:jc w:val="both"/>
      </w:pPr>
      <w:r>
        <w:rPr>
          <w:rFonts w:ascii="Arial" w:hAnsi="Arial"/>
          <w:rFonts w:ascii="Arial" w:hAnsi="Arial" w:eastAsia="Microsoft JhengHei"/>
          <w:color w:val="212121"/>
          <w:sz w:val="22"/>
        </w:rPr>
        <w:t>星光電子製造廠的2025年度排放變動率（YoY）與減量成效評估</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根據星光電子製造廠於2025年實現的排放總量， Scope 1Direct 排放量為195.7噸CO2e，Scope 2Indirect 排放量為3250.8噸CO2e，合計總排放量為3446.5噸CO2e。</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對於2024年度的基準值進行比較，星光電子製造廠於2025年度實現了3.5%的降低。這種降低是由於企業在2024年推行的減碳計畫，包括優化生產流程和使用可再生的能源等措施。</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在2025年度，星光電子製造廠繼續強調減碳的重要性，並繼續推進減碳計畫。企業將繼續優化生產流程，實現更多的減排成效，並探索新技術和新能源來替代傳統能源。</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總體而言，星光電子製造廠於2025年度實現了有效的減碳成效，這是由於企業的持續努力和願景的一部分。</w:t>
      </w:r>
    </w:p>
    <w:p>
      <w:pPr>
        <w:keepNext/>
        <w:spacing w:before="280" w:after="120"/>
      </w:pPr>
      <w:r>
        <w:rPr>
          <w:rFonts w:ascii="Arial" w:hAnsi="Arial"/>
          <w:rFonts w:ascii="Arial" w:hAnsi="Arial" w:eastAsia="Microsoft JhengHei"/>
          <w:b/>
          <w:color w:val="1565C0"/>
          <w:sz w:val="28"/>
        </w:rPr>
        <w:t>3.1.3.2 排放源與範疇占比可視化</w:t>
      </w:r>
    </w:p>
    <w:p>
      <w:pPr>
        <w:jc w:val="center"/>
      </w:pPr>
      <w:r>
        <w:drawing>
          <wp:inline xmlns:a="http://schemas.openxmlformats.org/drawingml/2006/main" xmlns:pic="http://schemas.openxmlformats.org/drawingml/2006/picture">
            <wp:extent cx="4572000" cy="3934185"/>
            <wp:docPr id="1" name="Picture 1"/>
            <wp:cNvGraphicFramePr>
              <a:graphicFrameLocks noChangeAspect="1"/>
            </wp:cNvGraphicFramePr>
            <a:graphic>
              <a:graphicData uri="http://schemas.openxmlformats.org/drawingml/2006/picture">
                <pic:pic>
                  <pic:nvPicPr>
                    <pic:cNvPr id="0" name="temp_emissions.png"/>
                    <pic:cNvPicPr/>
                  </pic:nvPicPr>
                  <pic:blipFill>
                    <a:blip r:embed="rId11"/>
                    <a:stretch>
                      <a:fillRect/>
                    </a:stretch>
                  </pic:blipFill>
                  <pic:spPr>
                    <a:xfrm>
                      <a:off x="0" y="0"/>
                      <a:ext cx="4572000" cy="3934185"/>
                    </a:xfrm>
                    <a:prstGeom prst="rect"/>
                  </pic:spPr>
                </pic:pic>
              </a:graphicData>
            </a:graphic>
          </wp:inline>
        </w:drawing>
      </w:r>
    </w:p>
    <w:p>
      <w:pPr>
        <w:spacing w:after="400"/>
        <w:jc w:val="center"/>
      </w:pPr>
      <w:r>
        <w:rPr>
          <w:rFonts w:ascii="Arial" w:hAnsi="Arial"/>
          <w:rFonts w:ascii="Arial" w:hAnsi="Arial" w:eastAsia="Microsoft JhengHei"/>
          <w:i/>
          <w:sz w:val="18"/>
        </w:rPr>
        <w:t>圖 3-1 2025 年度環境範疇一與範疇二排放分布 donut 圖</w:t>
      </w:r>
    </w:p>
    <w:p>
      <w:r>
        <w:br w:type="page"/>
      </w:r>
    </w:p>
    <w:p>
      <w:pPr>
        <w:keepNext/>
        <w:spacing w:before="360" w:after="160"/>
      </w:pPr>
      <w:r>
        <w:rPr>
          <w:rFonts w:ascii="Arial" w:hAnsi="Arial"/>
          <w:rFonts w:ascii="Arial" w:hAnsi="Arial" w:eastAsia="Microsoft JhengHei"/>
          <w:b/>
          <w:color w:val="2E7D32"/>
          <w:sz w:val="36"/>
        </w:rPr>
        <w:t>四、 GRI 404：培訓與教育</w:t>
      </w:r>
    </w:p>
    <w:p>
      <w:pPr>
        <w:keepNext/>
        <w:spacing w:before="280" w:after="120"/>
      </w:pPr>
      <w:r>
        <w:rPr>
          <w:rFonts w:ascii="Arial" w:hAnsi="Arial"/>
          <w:rFonts w:ascii="Arial" w:hAnsi="Arial" w:eastAsia="Microsoft JhengHei"/>
          <w:b/>
          <w:color w:val="1565C0"/>
          <w:sz w:val="28"/>
        </w:rPr>
        <w:t>4.1.1 員工平均培訓時數結構分析（依職級與性別）</w:t>
      </w:r>
    </w:p>
    <w:p>
      <w:pPr>
        <w:spacing w:line="312" w:lineRule="auto" w:after="160"/>
        <w:jc w:val="both"/>
      </w:pPr>
      <w:r>
        <w:rPr>
          <w:rFonts w:ascii="Arial" w:hAnsi="Arial"/>
          <w:rFonts w:ascii="Arial" w:hAnsi="Arial" w:eastAsia="Microsoft JhengHei"/>
          <w:color w:val="212121"/>
          <w:sz w:val="22"/>
        </w:rPr>
        <w:t>星光電子製造廠2025年社會責任報告書</w:t>
      </w:r>
    </w:p>
    <w:p>
      <w:pPr>
        <w:spacing w:line="312" w:lineRule="auto" w:after="160"/>
        <w:jc w:val="both"/>
      </w:pPr>
      <w:r>
        <w:rPr>
          <w:rFonts w:ascii="Arial" w:hAnsi="Arial"/>
          <w:rFonts w:ascii="Arial" w:hAnsi="Arial" w:eastAsia="Microsoft JhengHei"/>
          <w:color w:val="212121"/>
          <w:sz w:val="22"/>
        </w:rPr>
        <w:t>4.1.1 員工平均培訓時數結構分析（依職級與性別）</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星光電子製造廠對員工的培訓是長期的承諾，以確保其技能和知識的持續發展。根據2025年的統計，高階主管的平均培訓時數為45.0小時，中階主管為32.5小時，基層員工為28.0小時。整體而言，全體員工的平均培訓時數為30.2小時。</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此外，星光電子製造廠還對不同性別員工的培訓進行了分析。男性員工的平均培訓時數為29.5小時，而女性員工則為31.0小時。在這兩個方面，星光電子製造廠的培訓結果表明了在教育資源分配上的均衡性。</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星光電子製造廠繼續推進內部職涯能力培育，以滿足員工的需求和發展。同時，這些數據也反映了公司對於員工培訓的承諾和成果。</w:t>
      </w:r>
    </w:p>
    <w:p>
      <w:pPr>
        <w:keepNext/>
        <w:spacing w:before="280" w:after="120"/>
      </w:pPr>
      <w:r>
        <w:rPr>
          <w:rFonts w:ascii="Arial" w:hAnsi="Arial"/>
          <w:rFonts w:ascii="Arial" w:hAnsi="Arial" w:eastAsia="Microsoft JhengHei"/>
          <w:b/>
          <w:color w:val="1565C0"/>
          <w:sz w:val="28"/>
        </w:rPr>
        <w:t>4.1.2 員工技能提升與過渡協助計畫執行效益</w:t>
      </w:r>
    </w:p>
    <w:p>
      <w:pPr>
        <w:spacing w:line="312" w:lineRule="auto" w:after="160"/>
        <w:jc w:val="both"/>
      </w:pPr>
      <w:r>
        <w:rPr>
          <w:rFonts w:ascii="Arial" w:hAnsi="Arial"/>
          <w:rFonts w:ascii="Arial" w:hAnsi="Arial" w:eastAsia="Microsoft JhengHei"/>
          <w:color w:val="212121"/>
          <w:sz w:val="22"/>
        </w:rPr>
        <w:t>星光電子製造廠於2025年繼續推行持續的培訓課程及技能提升計畫，旨在幫助同仁因應數位轉型、AI 製程優化等職涯技能變動。根據統計資料，高階主管平均培訓時數為 45 小時，中階主管平均培訓時數為 32.5 小時，基層員工平均培訓時數為 28 小時。男性員工平均培訓時數為 29.5 小時，女性員工平均培訓時數為 31 小時。全體員工平均培訓時數為 30.2 小時。</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此外，星光電子製造廠的培訓計畫也發揮了良好的效果，新進員工比率僅為 12.5%，員工離職率則為 8.4%。這種培訓與技能重建方案對組織韌性、長期留任與企業永續競爭力帶來了實質效益。</w:t>
      </w:r>
    </w:p>
    <w:p>
      <w:pPr>
        <w:keepNext/>
        <w:spacing w:before="280" w:after="120"/>
      </w:pPr>
      <w:r>
        <w:rPr>
          <w:rFonts w:ascii="Arial" w:hAnsi="Arial"/>
          <w:rFonts w:ascii="Arial" w:hAnsi="Arial" w:eastAsia="Microsoft JhengHei"/>
          <w:b/>
          <w:color w:val="1565C0"/>
          <w:sz w:val="28"/>
        </w:rPr>
        <w:t>4.1.2.2 培訓與教育績效統計表</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rFonts w:ascii="Arial" w:hAnsi="Arial" w:eastAsia="Microsoft JhengHei"/>
                <w:b/>
                <w:sz w:val="19"/>
                <w:rFonts w:ascii="Arial" w:hAnsi="Arial" w:eastAsia="Microsoft JhengHei"/>
              </w:rPr>
              <w:t>數據指標分類</w:t>
            </w:r>
          </w:p>
        </w:tc>
        <w:tc>
          <w:tcPr>
            <w:tcW w:type="dxa" w:w="2340"/>
          </w:tcPr>
          <w:p>
            <w:r>
              <w:rPr>
                <w:rFonts w:ascii="Arial" w:hAnsi="Arial"/>
                <w:rFonts w:ascii="Arial" w:hAnsi="Arial" w:eastAsia="Microsoft JhengHei"/>
                <w:b/>
                <w:sz w:val="19"/>
                <w:rFonts w:ascii="Arial" w:hAnsi="Arial" w:eastAsia="Microsoft JhengHei"/>
              </w:rPr>
              <w:t>細部指標名稱</w:t>
            </w:r>
          </w:p>
        </w:tc>
        <w:tc>
          <w:tcPr>
            <w:tcW w:type="dxa" w:w="2340"/>
          </w:tcPr>
          <w:p>
            <w:r>
              <w:rPr>
                <w:rFonts w:ascii="Arial" w:hAnsi="Arial"/>
                <w:rFonts w:ascii="Arial" w:hAnsi="Arial" w:eastAsia="Microsoft JhengHei"/>
                <w:b/>
                <w:sz w:val="19"/>
                <w:rFonts w:ascii="Arial" w:hAnsi="Arial" w:eastAsia="Microsoft JhengHei"/>
              </w:rPr>
              <w:t>統計值</w:t>
            </w:r>
          </w:p>
        </w:tc>
        <w:tc>
          <w:tcPr>
            <w:tcW w:type="dxa" w:w="2340"/>
          </w:tcPr>
          <w:p>
            <w:r>
              <w:rPr>
                <w:rFonts w:ascii="Arial" w:hAnsi="Arial"/>
                <w:rFonts w:ascii="Arial" w:hAnsi="Arial" w:eastAsia="Microsoft JhengHei"/>
                <w:b/>
                <w:sz w:val="19"/>
                <w:rFonts w:ascii="Arial" w:hAnsi="Arial" w:eastAsia="Microsoft JhengHei"/>
              </w:rPr>
              <w:t>計量單位</w:t>
            </w:r>
          </w:p>
        </w:tc>
      </w:tr>
      <w:tr>
        <w:tc>
          <w:tcPr>
            <w:tcW w:type="dxa" w:w="2340"/>
          </w:tcPr>
          <w:p>
            <w:r>
              <w:rPr>
                <w:rFonts w:ascii="Arial" w:hAnsi="Arial"/>
                <w:rFonts w:ascii="Arial" w:hAnsi="Arial" w:eastAsia="Microsoft JhengHei"/>
                <w:sz w:val="19"/>
              </w:rPr>
              <w:t>培育成長 (Training)</w:t>
            </w:r>
          </w:p>
        </w:tc>
        <w:tc>
          <w:tcPr>
            <w:tcW w:type="dxa" w:w="2340"/>
          </w:tcPr>
          <w:p>
            <w:r>
              <w:rPr>
                <w:rFonts w:ascii="Arial" w:hAnsi="Arial"/>
                <w:rFonts w:ascii="Arial" w:hAnsi="Arial" w:eastAsia="Microsoft JhengHei"/>
                <w:sz w:val="19"/>
              </w:rPr>
              <w:t>高階主管平均培訓時數</w:t>
            </w:r>
          </w:p>
        </w:tc>
        <w:tc>
          <w:tcPr>
            <w:tcW w:type="dxa" w:w="2340"/>
          </w:tcPr>
          <w:p>
            <w:r>
              <w:rPr>
                <w:rFonts w:ascii="Arial" w:hAnsi="Arial"/>
                <w:rFonts w:ascii="Arial" w:hAnsi="Arial" w:eastAsia="Microsoft JhengHei"/>
                <w:sz w:val="19"/>
              </w:rPr>
              <w:t>45.0</w:t>
            </w:r>
          </w:p>
        </w:tc>
        <w:tc>
          <w:tcPr>
            <w:tcW w:type="dxa" w:w="2340"/>
          </w:tcPr>
          <w:p>
            <w:r>
              <w:rPr>
                <w:rFonts w:ascii="Arial" w:hAnsi="Arial"/>
                <w:rFonts w:ascii="Arial" w:hAnsi="Arial" w:eastAsia="Microsoft JhengHei"/>
                <w:sz w:val="19"/>
              </w:rPr>
              <w:t>小時</w:t>
            </w:r>
          </w:p>
        </w:tc>
      </w:tr>
      <w:tr>
        <w:tc>
          <w:tcPr>
            <w:tcW w:type="dxa" w:w="2340"/>
          </w:tcPr>
          <w:p>
            <w:r>
              <w:rPr>
                <w:rFonts w:ascii="Arial" w:hAnsi="Arial"/>
                <w:rFonts w:ascii="Arial" w:hAnsi="Arial" w:eastAsia="Microsoft JhengHei"/>
                <w:sz w:val="19"/>
              </w:rPr>
              <w:t>培育成長 (Training)</w:t>
            </w:r>
          </w:p>
        </w:tc>
        <w:tc>
          <w:tcPr>
            <w:tcW w:type="dxa" w:w="2340"/>
          </w:tcPr>
          <w:p>
            <w:r>
              <w:rPr>
                <w:rFonts w:ascii="Arial" w:hAnsi="Arial"/>
                <w:rFonts w:ascii="Arial" w:hAnsi="Arial" w:eastAsia="Microsoft JhengHei"/>
                <w:sz w:val="19"/>
              </w:rPr>
              <w:t>中階主管平均培訓時數</w:t>
            </w:r>
          </w:p>
        </w:tc>
        <w:tc>
          <w:tcPr>
            <w:tcW w:type="dxa" w:w="2340"/>
          </w:tcPr>
          <w:p>
            <w:r>
              <w:rPr>
                <w:rFonts w:ascii="Arial" w:hAnsi="Arial"/>
                <w:rFonts w:ascii="Arial" w:hAnsi="Arial" w:eastAsia="Microsoft JhengHei"/>
                <w:sz w:val="19"/>
              </w:rPr>
              <w:t>32.5</w:t>
            </w:r>
          </w:p>
        </w:tc>
        <w:tc>
          <w:tcPr>
            <w:tcW w:type="dxa" w:w="2340"/>
          </w:tcPr>
          <w:p>
            <w:r>
              <w:rPr>
                <w:rFonts w:ascii="Arial" w:hAnsi="Arial"/>
                <w:rFonts w:ascii="Arial" w:hAnsi="Arial" w:eastAsia="Microsoft JhengHei"/>
                <w:sz w:val="19"/>
              </w:rPr>
              <w:t>小時</w:t>
            </w:r>
          </w:p>
        </w:tc>
      </w:tr>
      <w:tr>
        <w:tc>
          <w:tcPr>
            <w:tcW w:type="dxa" w:w="2340"/>
          </w:tcPr>
          <w:p>
            <w:r>
              <w:rPr>
                <w:rFonts w:ascii="Arial" w:hAnsi="Arial"/>
                <w:rFonts w:ascii="Arial" w:hAnsi="Arial" w:eastAsia="Microsoft JhengHei"/>
                <w:sz w:val="19"/>
              </w:rPr>
              <w:t>培育成長 (Training)</w:t>
            </w:r>
          </w:p>
        </w:tc>
        <w:tc>
          <w:tcPr>
            <w:tcW w:type="dxa" w:w="2340"/>
          </w:tcPr>
          <w:p>
            <w:r>
              <w:rPr>
                <w:rFonts w:ascii="Arial" w:hAnsi="Arial"/>
                <w:rFonts w:ascii="Arial" w:hAnsi="Arial" w:eastAsia="Microsoft JhengHei"/>
                <w:sz w:val="19"/>
              </w:rPr>
              <w:t>基層員工平均培訓時數</w:t>
            </w:r>
          </w:p>
        </w:tc>
        <w:tc>
          <w:tcPr>
            <w:tcW w:type="dxa" w:w="2340"/>
          </w:tcPr>
          <w:p>
            <w:r>
              <w:rPr>
                <w:rFonts w:ascii="Arial" w:hAnsi="Arial"/>
                <w:rFonts w:ascii="Arial" w:hAnsi="Arial" w:eastAsia="Microsoft JhengHei"/>
                <w:sz w:val="19"/>
              </w:rPr>
              <w:t>28.0</w:t>
            </w:r>
          </w:p>
        </w:tc>
        <w:tc>
          <w:tcPr>
            <w:tcW w:type="dxa" w:w="2340"/>
          </w:tcPr>
          <w:p>
            <w:r>
              <w:rPr>
                <w:rFonts w:ascii="Arial" w:hAnsi="Arial"/>
                <w:rFonts w:ascii="Arial" w:hAnsi="Arial" w:eastAsia="Microsoft JhengHei"/>
                <w:sz w:val="19"/>
              </w:rPr>
              <w:t>小時</w:t>
            </w:r>
          </w:p>
        </w:tc>
      </w:tr>
      <w:tr>
        <w:tc>
          <w:tcPr>
            <w:tcW w:type="dxa" w:w="2340"/>
          </w:tcPr>
          <w:p>
            <w:r>
              <w:rPr>
                <w:rFonts w:ascii="Arial" w:hAnsi="Arial"/>
                <w:rFonts w:ascii="Arial" w:hAnsi="Arial" w:eastAsia="Microsoft JhengHei"/>
                <w:sz w:val="19"/>
              </w:rPr>
              <w:t>培育成長 (Training)</w:t>
            </w:r>
          </w:p>
        </w:tc>
        <w:tc>
          <w:tcPr>
            <w:tcW w:type="dxa" w:w="2340"/>
          </w:tcPr>
          <w:p>
            <w:r>
              <w:rPr>
                <w:rFonts w:ascii="Arial" w:hAnsi="Arial"/>
                <w:rFonts w:ascii="Arial" w:hAnsi="Arial" w:eastAsia="Microsoft JhengHei"/>
                <w:sz w:val="19"/>
              </w:rPr>
              <w:t>男性員工平均培訓時數</w:t>
            </w:r>
          </w:p>
        </w:tc>
        <w:tc>
          <w:tcPr>
            <w:tcW w:type="dxa" w:w="2340"/>
          </w:tcPr>
          <w:p>
            <w:r>
              <w:rPr>
                <w:rFonts w:ascii="Arial" w:hAnsi="Arial"/>
                <w:rFonts w:ascii="Arial" w:hAnsi="Arial" w:eastAsia="Microsoft JhengHei"/>
                <w:sz w:val="19"/>
              </w:rPr>
              <w:t>29.5</w:t>
            </w:r>
          </w:p>
        </w:tc>
        <w:tc>
          <w:tcPr>
            <w:tcW w:type="dxa" w:w="2340"/>
          </w:tcPr>
          <w:p>
            <w:r>
              <w:rPr>
                <w:rFonts w:ascii="Arial" w:hAnsi="Arial"/>
                <w:rFonts w:ascii="Arial" w:hAnsi="Arial" w:eastAsia="Microsoft JhengHei"/>
                <w:sz w:val="19"/>
              </w:rPr>
              <w:t>小時</w:t>
            </w:r>
          </w:p>
        </w:tc>
      </w:tr>
      <w:tr>
        <w:tc>
          <w:tcPr>
            <w:tcW w:type="dxa" w:w="2340"/>
          </w:tcPr>
          <w:p>
            <w:r>
              <w:rPr>
                <w:rFonts w:ascii="Arial" w:hAnsi="Arial"/>
                <w:rFonts w:ascii="Arial" w:hAnsi="Arial" w:eastAsia="Microsoft JhengHei"/>
                <w:sz w:val="19"/>
              </w:rPr>
              <w:t>培育成長 (Training)</w:t>
            </w:r>
          </w:p>
        </w:tc>
        <w:tc>
          <w:tcPr>
            <w:tcW w:type="dxa" w:w="2340"/>
          </w:tcPr>
          <w:p>
            <w:r>
              <w:rPr>
                <w:rFonts w:ascii="Arial" w:hAnsi="Arial"/>
                <w:rFonts w:ascii="Arial" w:hAnsi="Arial" w:eastAsia="Microsoft JhengHei"/>
                <w:sz w:val="19"/>
              </w:rPr>
              <w:t>女性員工平均培訓時數</w:t>
            </w:r>
          </w:p>
        </w:tc>
        <w:tc>
          <w:tcPr>
            <w:tcW w:type="dxa" w:w="2340"/>
          </w:tcPr>
          <w:p>
            <w:r>
              <w:rPr>
                <w:rFonts w:ascii="Arial" w:hAnsi="Arial"/>
                <w:rFonts w:ascii="Arial" w:hAnsi="Arial" w:eastAsia="Microsoft JhengHei"/>
                <w:sz w:val="19"/>
              </w:rPr>
              <w:t>31.0</w:t>
            </w:r>
          </w:p>
        </w:tc>
        <w:tc>
          <w:tcPr>
            <w:tcW w:type="dxa" w:w="2340"/>
          </w:tcPr>
          <w:p>
            <w:r>
              <w:rPr>
                <w:rFonts w:ascii="Arial" w:hAnsi="Arial"/>
                <w:rFonts w:ascii="Arial" w:hAnsi="Arial" w:eastAsia="Microsoft JhengHei"/>
                <w:sz w:val="19"/>
              </w:rPr>
              <w:t>小時</w:t>
            </w:r>
          </w:p>
        </w:tc>
      </w:tr>
      <w:tr>
        <w:tc>
          <w:tcPr>
            <w:tcW w:type="dxa" w:w="2340"/>
          </w:tcPr>
          <w:p>
            <w:r>
              <w:rPr>
                <w:rFonts w:ascii="Arial" w:hAnsi="Arial"/>
                <w:rFonts w:ascii="Arial" w:hAnsi="Arial" w:eastAsia="Microsoft JhengHei"/>
                <w:sz w:val="19"/>
              </w:rPr>
              <w:t>培育成長 (Training)</w:t>
            </w:r>
          </w:p>
        </w:tc>
        <w:tc>
          <w:tcPr>
            <w:tcW w:type="dxa" w:w="2340"/>
          </w:tcPr>
          <w:p>
            <w:r>
              <w:rPr>
                <w:rFonts w:ascii="Arial" w:hAnsi="Arial"/>
                <w:rFonts w:ascii="Arial" w:hAnsi="Arial" w:eastAsia="Microsoft JhengHei"/>
                <w:sz w:val="19"/>
              </w:rPr>
              <w:t>全體員工平均培訓時數</w:t>
            </w:r>
          </w:p>
        </w:tc>
        <w:tc>
          <w:tcPr>
            <w:tcW w:type="dxa" w:w="2340"/>
          </w:tcPr>
          <w:p>
            <w:r>
              <w:rPr>
                <w:rFonts w:ascii="Arial" w:hAnsi="Arial"/>
                <w:rFonts w:ascii="Arial" w:hAnsi="Arial" w:eastAsia="Microsoft JhengHei"/>
                <w:sz w:val="19"/>
              </w:rPr>
              <w:t>30.2</w:t>
            </w:r>
          </w:p>
        </w:tc>
        <w:tc>
          <w:tcPr>
            <w:tcW w:type="dxa" w:w="2340"/>
          </w:tcPr>
          <w:p>
            <w:r>
              <w:rPr>
                <w:rFonts w:ascii="Arial" w:hAnsi="Arial"/>
                <w:rFonts w:ascii="Arial" w:hAnsi="Arial" w:eastAsia="Microsoft JhengHei"/>
                <w:sz w:val="19"/>
              </w:rPr>
              <w:t>小時</w:t>
            </w:r>
          </w:p>
        </w:tc>
      </w:tr>
      <w:tr>
        <w:tc>
          <w:tcPr>
            <w:tcW w:type="dxa" w:w="2340"/>
          </w:tcPr>
          <w:p>
            <w:r>
              <w:rPr>
                <w:rFonts w:ascii="Arial" w:hAnsi="Arial"/>
                <w:rFonts w:ascii="Arial" w:hAnsi="Arial" w:eastAsia="Microsoft JhengHei"/>
                <w:sz w:val="19"/>
              </w:rPr>
              <w:t>組織穩定 (Turnover)</w:t>
            </w:r>
          </w:p>
        </w:tc>
        <w:tc>
          <w:tcPr>
            <w:tcW w:type="dxa" w:w="2340"/>
          </w:tcPr>
          <w:p>
            <w:r>
              <w:rPr>
                <w:rFonts w:ascii="Arial" w:hAnsi="Arial"/>
                <w:rFonts w:ascii="Arial" w:hAnsi="Arial" w:eastAsia="Microsoft JhengHei"/>
                <w:sz w:val="19"/>
              </w:rPr>
              <w:t>新進員工比率</w:t>
            </w:r>
          </w:p>
        </w:tc>
        <w:tc>
          <w:tcPr>
            <w:tcW w:type="dxa" w:w="2340"/>
          </w:tcPr>
          <w:p>
            <w:r>
              <w:rPr>
                <w:rFonts w:ascii="Arial" w:hAnsi="Arial"/>
                <w:rFonts w:ascii="Arial" w:hAnsi="Arial" w:eastAsia="Microsoft JhengHei"/>
                <w:sz w:val="19"/>
              </w:rPr>
              <w:t>12.5</w:t>
            </w:r>
          </w:p>
        </w:tc>
        <w:tc>
          <w:tcPr>
            <w:tcW w:type="dxa" w:w="2340"/>
          </w:tcPr>
          <w:p>
            <w:r>
              <w:rPr>
                <w:rFonts w:ascii="Arial" w:hAnsi="Arial"/>
                <w:rFonts w:ascii="Arial" w:hAnsi="Arial" w:eastAsia="Microsoft JhengHei"/>
                <w:sz w:val="19"/>
              </w:rPr>
              <w:t>%</w:t>
            </w:r>
          </w:p>
        </w:tc>
      </w:tr>
      <w:tr>
        <w:tc>
          <w:tcPr>
            <w:tcW w:type="dxa" w:w="2340"/>
          </w:tcPr>
          <w:p>
            <w:r>
              <w:rPr>
                <w:rFonts w:ascii="Arial" w:hAnsi="Arial"/>
                <w:rFonts w:ascii="Arial" w:hAnsi="Arial" w:eastAsia="Microsoft JhengHei"/>
                <w:sz w:val="19"/>
              </w:rPr>
              <w:t>組織穩定 (Turnover)</w:t>
            </w:r>
          </w:p>
        </w:tc>
        <w:tc>
          <w:tcPr>
            <w:tcW w:type="dxa" w:w="2340"/>
          </w:tcPr>
          <w:p>
            <w:r>
              <w:rPr>
                <w:rFonts w:ascii="Arial" w:hAnsi="Arial"/>
                <w:rFonts w:ascii="Arial" w:hAnsi="Arial" w:eastAsia="Microsoft JhengHei"/>
                <w:sz w:val="19"/>
              </w:rPr>
              <w:t>員工離職率</w:t>
            </w:r>
          </w:p>
        </w:tc>
        <w:tc>
          <w:tcPr>
            <w:tcW w:type="dxa" w:w="2340"/>
          </w:tcPr>
          <w:p>
            <w:r>
              <w:rPr>
                <w:rFonts w:ascii="Arial" w:hAnsi="Arial"/>
                <w:rFonts w:ascii="Arial" w:hAnsi="Arial" w:eastAsia="Microsoft JhengHei"/>
                <w:sz w:val="19"/>
              </w:rPr>
              <w:t>8.4</w:t>
            </w:r>
          </w:p>
        </w:tc>
        <w:tc>
          <w:tcPr>
            <w:tcW w:type="dxa" w:w="2340"/>
          </w:tcPr>
          <w:p>
            <w:r>
              <w:rPr>
                <w:rFonts w:ascii="Arial" w:hAnsi="Arial"/>
                <w:rFonts w:ascii="Arial" w:hAnsi="Arial" w:eastAsia="Microsoft JhengHei"/>
                <w:sz w:val="19"/>
              </w:rPr>
              <w:t>%</w:t>
            </w:r>
          </w:p>
        </w:tc>
      </w:tr>
    </w:tbl>
    <w:p>
      <w:pPr>
        <w:spacing w:before="200"/>
      </w:pPr>
    </w:p>
    <w:p>
      <w:r>
        <w:br w:type="page"/>
      </w:r>
    </w:p>
    <w:p>
      <w:pPr>
        <w:keepNext/>
        <w:spacing w:before="280" w:after="120"/>
      </w:pPr>
      <w:r>
        <w:rPr>
          <w:rFonts w:ascii="Arial" w:hAnsi="Arial"/>
          <w:rFonts w:ascii="Arial" w:hAnsi="Arial" w:eastAsia="Microsoft JhengHei"/>
          <w:b/>
          <w:color w:val="1565C0"/>
          <w:sz w:val="28"/>
        </w:rPr>
        <w:t>4.1.3 組織人才穩定度與流動率指標解讀</w:t>
      </w:r>
    </w:p>
    <w:p>
      <w:pPr>
        <w:spacing w:line="312" w:lineRule="auto" w:after="160"/>
        <w:jc w:val="both"/>
      </w:pPr>
      <w:r>
        <w:rPr>
          <w:rFonts w:ascii="Arial" w:hAnsi="Arial"/>
          <w:rFonts w:ascii="Arial" w:hAnsi="Arial" w:eastAsia="Microsoft JhengHei"/>
          <w:color w:val="212121"/>
          <w:sz w:val="22"/>
        </w:rPr>
        <w:t>星光電子製造廠2025年度企業社會責任報告書</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4.1.3 組織人才穩定度與流動率指標解讀</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星光電子製造廠強調人才培訓的重要性，旨在提高員工的技能和能力，以維持組織穩定度。根據2025年度的數據，公司的高階主管平均培訓時數為45小時、中階主管平均培訓時數為32.5小時，基層員工平均培訓時數為28小時。男性員工和女性員工的平均培訓時數分別為29.5小時和31小時，全體員工的平均培訓時數為30.2小時。</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此外，星光電子製造廠也積極推進人才流動率指標的實施。2025年度的新進員工比率為12.5%，員工離職率為8.4%。這些數據表明公司的人才培訓和發展策略正在發揮積極作用，提高員工的技能和滿意度。</w:t>
      </w:r>
    </w:p>
    <w:p>
      <w:pPr>
        <w:spacing w:line="312" w:lineRule="auto" w:after="160"/>
        <w:jc w:val="both"/>
      </w:pPr>
      <w:r>
        <w:rPr>
          <w:rFonts w:ascii="Arial" w:hAnsi="Arial"/>
          <w:rFonts w:ascii="Arial" w:hAnsi="Arial" w:eastAsia="Microsoft JhengHei"/>
          <w:color w:val="212121"/>
          <w:sz w:val="22"/>
        </w:rPr>
      </w:r>
    </w:p>
    <w:p>
      <w:pPr>
        <w:spacing w:line="312" w:lineRule="auto" w:after="160"/>
        <w:jc w:val="both"/>
      </w:pPr>
      <w:r>
        <w:rPr>
          <w:rFonts w:ascii="Arial" w:hAnsi="Arial"/>
          <w:rFonts w:ascii="Arial" w:hAnsi="Arial" w:eastAsia="Microsoft JhengHei"/>
          <w:color w:val="212121"/>
          <w:sz w:val="22"/>
        </w:rPr>
        <w:t>然而，這些指標也提醒我們需要繼續改善留才機制、升遷管道優化及友善職場工作氛圍，以降低員工流動率和提高組織穩定度。星光電子製造廠將繼續推進人才發展和管理的相關政策，提高員工的技能和滿意度，以實現長期營運效益。</w:t>
      </w:r>
    </w:p>
    <w:p>
      <w:pPr>
        <w:keepNext/>
        <w:spacing w:before="280" w:after="120"/>
      </w:pPr>
      <w:r>
        <w:rPr>
          <w:rFonts w:ascii="Arial" w:hAnsi="Arial"/>
          <w:rFonts w:ascii="Arial" w:hAnsi="Arial" w:eastAsia="Microsoft JhengHei"/>
          <w:b/>
          <w:color w:val="1565C0"/>
          <w:sz w:val="28"/>
        </w:rPr>
        <w:t>4.1.3.2 培訓效益與流動性分析</w:t>
      </w:r>
    </w:p>
    <w:p>
      <w:pPr>
        <w:jc w:val="center"/>
      </w:pPr>
      <w:r>
        <w:drawing>
          <wp:inline xmlns:a="http://schemas.openxmlformats.org/drawingml/2006/main" xmlns:pic="http://schemas.openxmlformats.org/drawingml/2006/picture">
            <wp:extent cx="4754880" cy="3036498"/>
            <wp:docPr id="2" name="Picture 2"/>
            <wp:cNvGraphicFramePr>
              <a:graphicFrameLocks noChangeAspect="1"/>
            </wp:cNvGraphicFramePr>
            <a:graphic>
              <a:graphicData uri="http://schemas.openxmlformats.org/drawingml/2006/picture">
                <pic:pic>
                  <pic:nvPicPr>
                    <pic:cNvPr id="0" name="temp_social.png"/>
                    <pic:cNvPicPr/>
                  </pic:nvPicPr>
                  <pic:blipFill>
                    <a:blip r:embed="rId12"/>
                    <a:stretch>
                      <a:fillRect/>
                    </a:stretch>
                  </pic:blipFill>
                  <pic:spPr>
                    <a:xfrm>
                      <a:off x="0" y="0"/>
                      <a:ext cx="4754880" cy="3036498"/>
                    </a:xfrm>
                    <a:prstGeom prst="rect"/>
                  </pic:spPr>
                </pic:pic>
              </a:graphicData>
            </a:graphic>
          </wp:inline>
        </w:drawing>
      </w:r>
    </w:p>
    <w:p>
      <w:pPr>
        <w:spacing w:after="400"/>
        <w:jc w:val="center"/>
      </w:pPr>
      <w:r>
        <w:rPr>
          <w:rFonts w:ascii="Arial" w:hAnsi="Arial"/>
          <w:rFonts w:ascii="Arial" w:hAnsi="Arial" w:eastAsia="Microsoft JhengHei"/>
          <w:i/>
          <w:sz w:val="18"/>
        </w:rPr>
        <w:t>圖 4-1 2025 年度各維度平均培訓時數對比長條圖</w:t>
      </w:r>
    </w:p>
    <w:p>
      <w:r>
        <w:br w:type="page"/>
      </w:r>
    </w:p>
    <w:p>
      <w:pPr>
        <w:keepNext/>
        <w:spacing w:before="360" w:after="160"/>
      </w:pPr>
      <w:r>
        <w:rPr>
          <w:rFonts w:ascii="Arial" w:hAnsi="Arial"/>
          <w:rFonts w:ascii="Arial" w:hAnsi="Arial" w:eastAsia="Microsoft JhengHei"/>
          <w:b/>
          <w:color w:val="2E7D32"/>
          <w:sz w:val="36"/>
        </w:rPr>
        <w:t>附錄、 GRI 揭露指標索引對照表</w:t>
      </w:r>
    </w:p>
    <w:tbl>
      <w:tblPr>
        <w:tblStyle w:val="LightShading-Accent1"/>
        <w:tblW w:type="auto" w:w="0"/>
        <w:tblLook w:firstColumn="1" w:firstRow="1" w:lastColumn="0" w:lastRow="0" w:noHBand="0" w:noVBand="1" w:val="04A0"/>
      </w:tblPr>
      <w:tblGrid>
        <w:gridCol w:w="2340"/>
        <w:gridCol w:w="2340"/>
        <w:gridCol w:w="2340"/>
        <w:gridCol w:w="2340"/>
      </w:tblGrid>
      <w:tr>
        <w:tc>
          <w:tcPr>
            <w:tcW w:type="dxa" w:w="2340"/>
          </w:tcPr>
          <w:p>
            <w:r>
              <w:rPr>
                <w:rFonts w:ascii="Arial" w:hAnsi="Arial"/>
                <w:rFonts w:ascii="Arial" w:hAnsi="Arial" w:eastAsia="Microsoft JhengHei"/>
                <w:b/>
                <w:sz w:val="18"/>
                <w:rFonts w:ascii="Arial" w:hAnsi="Arial" w:eastAsia="Microsoft JhengHei"/>
              </w:rPr>
              <w:t>GRI 準則項目</w:t>
            </w:r>
          </w:p>
        </w:tc>
        <w:tc>
          <w:tcPr>
            <w:tcW w:type="dxa" w:w="2340"/>
          </w:tcPr>
          <w:p>
            <w:r>
              <w:rPr>
                <w:rFonts w:ascii="Arial" w:hAnsi="Arial"/>
                <w:rFonts w:ascii="Arial" w:hAnsi="Arial" w:eastAsia="Microsoft JhengHei"/>
                <w:b/>
                <w:sz w:val="18"/>
                <w:rFonts w:ascii="Arial" w:hAnsi="Arial" w:eastAsia="Microsoft JhengHei"/>
              </w:rPr>
              <w:t>揭露指標項目</w:t>
            </w:r>
          </w:p>
        </w:tc>
        <w:tc>
          <w:tcPr>
            <w:tcW w:type="dxa" w:w="2340"/>
          </w:tcPr>
          <w:p>
            <w:r>
              <w:rPr>
                <w:rFonts w:ascii="Arial" w:hAnsi="Arial"/>
                <w:rFonts w:ascii="Arial" w:hAnsi="Arial" w:eastAsia="Microsoft JhengHei"/>
                <w:b/>
                <w:sz w:val="18"/>
                <w:rFonts w:ascii="Arial" w:hAnsi="Arial" w:eastAsia="Microsoft JhengHei"/>
              </w:rPr>
              <w:t>對應報告章節</w:t>
            </w:r>
          </w:p>
        </w:tc>
        <w:tc>
          <w:tcPr>
            <w:tcW w:type="dxa" w:w="2340"/>
          </w:tcPr>
          <w:p>
            <w:r>
              <w:rPr>
                <w:rFonts w:ascii="Arial" w:hAnsi="Arial"/>
                <w:rFonts w:ascii="Arial" w:hAnsi="Arial" w:eastAsia="Microsoft JhengHei"/>
                <w:b/>
                <w:sz w:val="18"/>
                <w:rFonts w:ascii="Arial" w:hAnsi="Arial" w:eastAsia="Microsoft JhengHei"/>
              </w:rPr>
              <w:t>頁碼標示</w:t>
            </w:r>
          </w:p>
        </w:tc>
      </w:tr>
      <w:tr>
        <w:tc>
          <w:tcPr>
            <w:tcW w:type="dxa" w:w="2340"/>
          </w:tcPr>
          <w:p>
            <w:r>
              <w:rPr>
                <w:rFonts w:ascii="Arial" w:hAnsi="Arial"/>
                <w:rFonts w:ascii="Arial" w:hAnsi="Arial" w:eastAsia="Microsoft JhengHei"/>
                <w:sz w:val="18"/>
              </w:rPr>
              <w:t>GRI 305: Emissions 2016</w:t>
            </w:r>
          </w:p>
        </w:tc>
        <w:tc>
          <w:tcPr>
            <w:tcW w:type="dxa" w:w="2340"/>
          </w:tcPr>
          <w:p>
            <w:r>
              <w:rPr>
                <w:rFonts w:ascii="Arial" w:hAnsi="Arial"/>
                <w:rFonts w:ascii="Arial" w:hAnsi="Arial" w:eastAsia="Microsoft JhengHei"/>
                <w:sz w:val="18"/>
              </w:rPr>
              <w:t>305-1 直接（範疇一）溫室氣體排放</w:t>
            </w:r>
          </w:p>
        </w:tc>
        <w:tc>
          <w:tcPr>
            <w:tcW w:type="dxa" w:w="2340"/>
          </w:tcPr>
          <w:p>
            <w:r>
              <w:rPr>
                <w:rFonts w:ascii="Arial" w:hAnsi="Arial"/>
                <w:rFonts w:ascii="Arial" w:hAnsi="Arial" w:eastAsia="Microsoft JhengHei"/>
                <w:sz w:val="18"/>
              </w:rPr>
              <w:t>三、 GRI 305 - 3.1.1 範疇一來源解讀</w:t>
            </w:r>
          </w:p>
        </w:tc>
        <w:tc>
          <w:tcPr>
            <w:tcW w:type="dxa" w:w="2340"/>
          </w:tcPr>
          <w:p>
            <w:r>
              <w:rPr>
                <w:rFonts w:ascii="Arial" w:hAnsi="Arial"/>
                <w:rFonts w:ascii="Arial" w:hAnsi="Arial" w:eastAsia="Microsoft JhengHei"/>
                <w:sz w:val="18"/>
              </w:rPr>
              <w:t>5</w:t>
            </w:r>
          </w:p>
        </w:tc>
      </w:tr>
      <w:tr>
        <w:tc>
          <w:tcPr>
            <w:tcW w:type="dxa" w:w="2340"/>
          </w:tcPr>
          <w:p>
            <w:r>
              <w:rPr>
                <w:rFonts w:ascii="Arial" w:hAnsi="Arial"/>
                <w:rFonts w:ascii="Arial" w:hAnsi="Arial" w:eastAsia="Microsoft JhengHei"/>
                <w:sz w:val="18"/>
              </w:rPr>
              <w:t>GRI 305: Emissions 2016</w:t>
            </w:r>
          </w:p>
        </w:tc>
        <w:tc>
          <w:tcPr>
            <w:tcW w:type="dxa" w:w="2340"/>
          </w:tcPr>
          <w:p>
            <w:r>
              <w:rPr>
                <w:rFonts w:ascii="Arial" w:hAnsi="Arial"/>
                <w:rFonts w:ascii="Arial" w:hAnsi="Arial" w:eastAsia="Microsoft JhengHei"/>
                <w:sz w:val="18"/>
              </w:rPr>
              <w:t>305-2 能源間接（範疇二）溫室氣體排放</w:t>
            </w:r>
          </w:p>
        </w:tc>
        <w:tc>
          <w:tcPr>
            <w:tcW w:type="dxa" w:w="2340"/>
          </w:tcPr>
          <w:p>
            <w:r>
              <w:rPr>
                <w:rFonts w:ascii="Arial" w:hAnsi="Arial"/>
                <w:rFonts w:ascii="Arial" w:hAnsi="Arial" w:eastAsia="Microsoft JhengHei"/>
                <w:sz w:val="18"/>
              </w:rPr>
              <w:t>三、 GRI 305 - 3.1.2 範疇二電力分析</w:t>
            </w:r>
          </w:p>
        </w:tc>
        <w:tc>
          <w:tcPr>
            <w:tcW w:type="dxa" w:w="2340"/>
          </w:tcPr>
          <w:p>
            <w:r>
              <w:rPr>
                <w:rFonts w:ascii="Arial" w:hAnsi="Arial"/>
                <w:rFonts w:ascii="Arial" w:hAnsi="Arial" w:eastAsia="Microsoft JhengHei"/>
                <w:sz w:val="18"/>
              </w:rPr>
              <w:t>5</w:t>
            </w:r>
          </w:p>
        </w:tc>
      </w:tr>
      <w:tr>
        <w:tc>
          <w:tcPr>
            <w:tcW w:type="dxa" w:w="2340"/>
          </w:tcPr>
          <w:p>
            <w:r>
              <w:rPr>
                <w:rFonts w:ascii="Arial" w:hAnsi="Arial"/>
                <w:rFonts w:ascii="Arial" w:hAnsi="Arial" w:eastAsia="Microsoft JhengHei"/>
                <w:sz w:val="18"/>
              </w:rPr>
              <w:t>GRI 404: Training &amp; Education</w:t>
            </w:r>
          </w:p>
        </w:tc>
        <w:tc>
          <w:tcPr>
            <w:tcW w:type="dxa" w:w="2340"/>
          </w:tcPr>
          <w:p>
            <w:r>
              <w:rPr>
                <w:rFonts w:ascii="Arial" w:hAnsi="Arial"/>
                <w:rFonts w:ascii="Arial" w:hAnsi="Arial" w:eastAsia="Microsoft JhengHei"/>
                <w:sz w:val="18"/>
              </w:rPr>
              <w:t>404-1 每名員工每年接受培訓的平均時數</w:t>
            </w:r>
          </w:p>
        </w:tc>
        <w:tc>
          <w:tcPr>
            <w:tcW w:type="dxa" w:w="2340"/>
          </w:tcPr>
          <w:p>
            <w:r>
              <w:rPr>
                <w:rFonts w:ascii="Arial" w:hAnsi="Arial"/>
                <w:rFonts w:ascii="Arial" w:hAnsi="Arial" w:eastAsia="Microsoft JhengHei"/>
                <w:sz w:val="18"/>
              </w:rPr>
              <w:t>四、 GRI 404 - 4.1.1 培訓時數結構分析</w:t>
            </w:r>
          </w:p>
        </w:tc>
        <w:tc>
          <w:tcPr>
            <w:tcW w:type="dxa" w:w="2340"/>
          </w:tcPr>
          <w:p>
            <w:r>
              <w:rPr>
                <w:rFonts w:ascii="Arial" w:hAnsi="Arial"/>
                <w:rFonts w:ascii="Arial" w:hAnsi="Arial" w:eastAsia="Microsoft JhengHei"/>
                <w:sz w:val="18"/>
              </w:rPr>
              <w:t>7</w:t>
            </w:r>
          </w:p>
        </w:tc>
      </w:tr>
      <w:tr>
        <w:tc>
          <w:tcPr>
            <w:tcW w:type="dxa" w:w="2340"/>
          </w:tcPr>
          <w:p>
            <w:r>
              <w:rPr>
                <w:rFonts w:ascii="Arial" w:hAnsi="Arial"/>
                <w:rFonts w:ascii="Arial" w:hAnsi="Arial" w:eastAsia="Microsoft JhengHei"/>
                <w:sz w:val="18"/>
              </w:rPr>
              <w:t>GRI 404: Training &amp; Education</w:t>
            </w:r>
          </w:p>
        </w:tc>
        <w:tc>
          <w:tcPr>
            <w:tcW w:type="dxa" w:w="2340"/>
          </w:tcPr>
          <w:p>
            <w:r>
              <w:rPr>
                <w:rFonts w:ascii="Arial" w:hAnsi="Arial"/>
                <w:rFonts w:ascii="Arial" w:hAnsi="Arial" w:eastAsia="Microsoft JhengHei"/>
                <w:sz w:val="18"/>
              </w:rPr>
              <w:t>404-2 員工技能提升計畫與過渡協助計畫</w:t>
            </w:r>
          </w:p>
        </w:tc>
        <w:tc>
          <w:tcPr>
            <w:tcW w:type="dxa" w:w="2340"/>
          </w:tcPr>
          <w:p>
            <w:r>
              <w:rPr>
                <w:rFonts w:ascii="Arial" w:hAnsi="Arial"/>
                <w:rFonts w:ascii="Arial" w:hAnsi="Arial" w:eastAsia="Microsoft JhengHei"/>
                <w:sz w:val="18"/>
              </w:rPr>
              <w:t>四、 GRI 404 - 4.1.2 員工技能提升效益</w:t>
            </w:r>
          </w:p>
        </w:tc>
        <w:tc>
          <w:tcPr>
            <w:tcW w:type="dxa" w:w="2340"/>
          </w:tcPr>
          <w:p>
            <w:r>
              <w:rPr>
                <w:rFonts w:ascii="Arial" w:hAnsi="Arial"/>
                <w:rFonts w:ascii="Arial" w:hAnsi="Arial" w:eastAsia="Microsoft JhengHei"/>
                <w:sz w:val="18"/>
              </w:rPr>
              <w:t>7</w:t>
            </w:r>
          </w:p>
        </w:tc>
      </w:tr>
    </w:tbl>
    <w:sectPr w:rsidR="00FC693F" w:rsidRPr="0006063C" w:rsidSect="00034616">
      <w:headerReference w:type="default" r:id="rId9"/>
      <w:footerReference w:type="default" r:id="rId10"/>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rFonts w:ascii="Arial" w:hAnsi="Arial" w:eastAsia="Microsoft JhengHei"/>
        <w:color w:val="808080"/>
        <w:sz w:val="18"/>
      </w:rPr>
      <w:t xml:space="preserve">企業永續報告書初稿 (地端 AI 自動化生成)  |  頁 </w:t>
    </w:r>
    <w:r>
      <w:rPr>
        <w:color w:val="808080"/>
        <w:sz w:val="18"/>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rFonts w:ascii="Arial" w:hAnsi="Arial" w:eastAsia="Microsoft JhengHei"/>
        <w:color w:val="808080"/>
        <w:sz w:val="18"/>
      </w:rPr>
      <w:t>🌱 星光電子製造廠 | 2025 年度企業永續報告書草稿</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